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0DE8B" Type="http://schemas.openxmlformats.org/officeDocument/2006/relationships/officeDocument" Target="/word/document.xml" /><Relationship Id="coreRD60DE8B" Type="http://schemas.openxmlformats.org/package/2006/relationships/metadata/core-properties" Target="/docProps/core.xml" /><Relationship Id="customRD60D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