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7323DD2" Type="http://schemas.openxmlformats.org/officeDocument/2006/relationships/officeDocument" Target="/word/document.xml" /><Relationship Id="coreR27323DD2" Type="http://schemas.openxmlformats.org/package/2006/relationships/metadata/core-properties" Target="/docProps/core.xml" /><Relationship Id="customR27323DD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 a ošetřovatel ovcí a koz (kód: 41-046-H)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ošetřovatel ovcí a koz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Evidence a označování ovcí a koz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Systémy chovu ovcí a koz, údržba stájí a ohrad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Manipulace se zvířaty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ovcí a koz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Pastva ovcí a koz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zdravotní stav ovcí a koz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Reprodukce ovcí a koz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Péče o narozená jehňata a kůzlata a o jejich správný růst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Získávání mléka na farmě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Zpracování kozího a ovčího mléka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Orientace v domácí porážce ovcí a koz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ovcí a koz, 11.9.2026 19:17:29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https://nsp.cz/jednotka-prace/chovatel-a-osetrovatel-ov#zdravotni-zpusobilosty).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při vstupu do chovu splňovat požadavky veterinárních předpisů (zákon č. 166/1999 Sb. a vyhláška č. 342/2012 Sb.) a obecně platných pravidel zoohygieny. Pro ověření znalostí a dovedností uchazeče budou kompetence ověřovány nejen ve zkušební místnosti, ale také přímo v zemědělském provozu zaměřeném na chov ovcí nebo koz.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dodržování zásad správné zemědělské praxe. Přitom je nutné posuzovat nejen dosažený výsledek, ale i samostatnost při rozhodování o nejvhodnějším postupu řešení zadaného úkolu podle daných podmínek pracoviště. Při práci je třeba hodnotit přístup ke zvířatům a respektování požadavků pohody zvířat (welfare). Je vhodné zadávat uchazečům komplexní úkoly, které umožní ověření několika kritérií v rámci jedné i více kompetencí.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Evidence a označování ovcí a koz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b) uchazeč zvolí vhodné pomůcky a metody označení a označení provede. V kritériu c) bude uchazeči předložen obrazový materiál pro rozpoznání 10 plemen ovcí a koz.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ovcí a koz, 11.9.2026 19:17:29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Milský statek,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ovcí a koz,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zemědělství, o. p.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ovcí a koz, 11.9.2026 19:17:29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