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29245" Type="http://schemas.openxmlformats.org/officeDocument/2006/relationships/officeDocument" Target="/word/document.xml" /><Relationship Id="coreR50429245" Type="http://schemas.openxmlformats.org/package/2006/relationships/metadata/core-properties" Target="/docProps/core.xml" /><Relationship Id="customR504292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profesní kvalifikaci na minimálně dvou skupinách základních plodin. Pro účely ověřování byly stanoveny tyto skupiny základních plodin: obilniny a olejniny, okopaniny a pícniny.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doprava, údržba a drobné opravy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d) budou požadované práce provedeny u jednoho z uvedených mechanizačních prostředků: traktor, samojízdný stroj, mechanizační prostředek pro zpracování půdy, rozmetadlo, secí nebo sázecí stroj.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