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101A40" Type="http://schemas.openxmlformats.org/officeDocument/2006/relationships/officeDocument" Target="/word/document.xml" /><Relationship Id="coreR5A101A40" Type="http://schemas.openxmlformats.org/package/2006/relationships/metadata/core-properties" Target="/docProps/core.xml" /><Relationship Id="customR5A101A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28.04.2015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29.10.2026 3:02:17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http://katalog.nsp.cz/karta_p.aspx?id_jp=30981&amp;kod_sm1=34)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 orientaci v dokumentech potřebných pro technologickou výrobu a interpretaci údajů v nich uvedených, úpravu surovin pro výrobu,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tyto činnosti je třeba, aby měl uchazeč alespoň základní znalosti z oblasti chemie, elektro, strojnictví a měření a regulace.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konkrétní technologii chemické výroby, na které se uchazeč před zkouškou dohodne s autorizovanou osobou. Na praktickém příkladu uchazeč vysvětlí např. průběh technologického procesu, úpravu surovin pro výrobu, provádění analýz apod. Uchazeč bude mít k dispozici běžně využívanou dokumentaci jako pracovní instrukce, provozní řád, bezpečnostní listy, technologickou dokumentaci, případně předepsané normy.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dodržování ekologických principů, bezpečné provádění a časové zvládání všech úkonů. Bude přihlíženo k bezpečnému provádění všech pracovních úkonů a k dodržování zásad bezpečné práce s chemickými látkami a chemickými přípravky v podmínkách různých typů chemických výrob.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29.10.2026 3:02:17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Cerea,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29.10.2026 3:02:17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