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6D5FD" Type="http://schemas.openxmlformats.org/officeDocument/2006/relationships/officeDocument" Target="/word/document.xml" /><Relationship Id="coreR79C6D5FD" Type="http://schemas.openxmlformats.org/package/2006/relationships/metadata/core-properties" Target="/docProps/core.xml" /><Relationship Id="customR79C6D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28.04.2015 do: 28.06.2019</w:t>
      </w:r>
    </w:p>
    <w:p>
      <w:pPr>
        <w:pStyle w:val="P21"/>
        <w:framePr w:w="7654" w:h="331" w:hRule="exact" w:wrap="none" w:vAnchor="page" w:hAnchor="margin" w:x="28" w:y="15940"/>
        <w:rPr>
          <w:rStyle w:val="C16"/>
          <w:rtl w:val="0"/>
        </w:rPr>
      </w:pPr>
      <w:r>
        <w:rPr>
          <w:rStyle w:val="C16"/>
          <w:rtl w:val="0"/>
        </w:rPr>
        <w:t>Chemik pro obsluhu zařízení, 30.4.2026 15:03:21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30.4.2026 15:03:21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Písemné a ústní ověření</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Písemné ověření</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Písemné ověření</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Praktické předvedení a ústní ověření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30.4.2026 15:03:21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831" w:hRule="exact" w:wrap="none" w:vAnchor="page" w:hAnchor="margin" w:x="45" w:y="7866"/>
        <w:rPr>
          <w:rStyle w:val="C3"/>
          <w:rtl w:val="0"/>
        </w:rPr>
      </w:pPr>
    </w:p>
    <w:p>
      <w:pPr>
        <w:pStyle w:val="P13"/>
        <w:framePr w:w="6658" w:h="704"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 včetně používání vhodných OOPP</w:t>
      </w:r>
    </w:p>
    <w:p>
      <w:pPr>
        <w:pStyle w:val="P28"/>
        <w:framePr w:w="3921" w:h="831" w:hRule="exact" w:wrap="none" w:vAnchor="page" w:hAnchor="margin" w:x="6800" w:y="7866"/>
        <w:rPr>
          <w:rStyle w:val="C3"/>
          <w:rtl w:val="0"/>
        </w:rPr>
      </w:pPr>
    </w:p>
    <w:p>
      <w:pPr>
        <w:pStyle w:val="P29"/>
        <w:framePr w:w="3839" w:h="704" w:hRule="exact" w:wrap="none" w:vAnchor="page" w:hAnchor="margin" w:x="6856" w:y="7922"/>
        <w:rPr>
          <w:rStyle w:val="C21"/>
          <w:rtl w:val="0"/>
        </w:rPr>
      </w:pPr>
      <w:r>
        <w:rPr>
          <w:rStyle w:val="C21"/>
          <w:rtl w:val="0"/>
        </w:rPr>
        <w:t>Praktické předvedení a ústní ověření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b) Dodržovat hygienické předpisy</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Praktické předvedení a ústní ověření</w:t>
      </w:r>
    </w:p>
    <w:p>
      <w:pPr>
        <w:pStyle w:val="P12"/>
        <w:framePr w:w="6710" w:h="831" w:hRule="exact" w:wrap="none" w:vAnchor="page" w:hAnchor="margin" w:x="45" w:y="9073"/>
        <w:rPr>
          <w:rStyle w:val="C3"/>
          <w:rtl w:val="0"/>
        </w:rPr>
      </w:pPr>
    </w:p>
    <w:p>
      <w:pPr>
        <w:pStyle w:val="P13"/>
        <w:framePr w:w="6658" w:h="704" w:hRule="exact" w:wrap="none" w:vAnchor="page" w:hAnchor="margin" w:x="71" w:y="9129"/>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073"/>
        <w:rPr>
          <w:rStyle w:val="C3"/>
          <w:rtl w:val="0"/>
        </w:rPr>
      </w:pPr>
    </w:p>
    <w:p>
      <w:pPr>
        <w:pStyle w:val="P29"/>
        <w:framePr w:w="3839" w:h="704" w:hRule="exact" w:wrap="none" w:vAnchor="page" w:hAnchor="margin" w:x="6856" w:y="9129"/>
        <w:rPr>
          <w:rStyle w:val="C21"/>
          <w:rtl w:val="0"/>
        </w:rPr>
      </w:pPr>
      <w:r>
        <w:rPr>
          <w:rStyle w:val="C21"/>
          <w:rtl w:val="0"/>
        </w:rPr>
        <w:t>Ústní ověření</w:t>
      </w:r>
    </w:p>
    <w:p>
      <w:pPr>
        <w:pStyle w:val="P16"/>
        <w:framePr w:w="6710" w:h="831" w:hRule="exact" w:wrap="none" w:vAnchor="page" w:hAnchor="margin" w:x="45" w:y="9904"/>
        <w:rPr>
          <w:rStyle w:val="C3"/>
          <w:rtl w:val="0"/>
        </w:rPr>
      </w:pPr>
    </w:p>
    <w:p>
      <w:pPr>
        <w:pStyle w:val="P17"/>
        <w:framePr w:w="6658" w:h="704" w:hRule="exact" w:wrap="none" w:vAnchor="page" w:hAnchor="margin" w:x="71" w:y="9960"/>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9904"/>
        <w:rPr>
          <w:rStyle w:val="C3"/>
          <w:rtl w:val="0"/>
        </w:rPr>
      </w:pPr>
    </w:p>
    <w:p>
      <w:pPr>
        <w:pStyle w:val="P31"/>
        <w:framePr w:w="3839" w:h="704" w:hRule="exact" w:wrap="none" w:vAnchor="page" w:hAnchor="margin" w:x="6856" w:y="9960"/>
        <w:rPr>
          <w:rStyle w:val="C22"/>
          <w:rtl w:val="0"/>
        </w:rPr>
      </w:pPr>
      <w:r>
        <w:rPr>
          <w:rStyle w:val="C22"/>
          <w:rtl w:val="0"/>
        </w:rPr>
        <w:t>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30.4.2026 15:03:21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http://katalog.nsp.cz/karta_p.aspx?id_jp=30981&amp;kod_sm1=34)</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základní znalosti z oblasti chemie, elektro, strojnictví a měření a regulace.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konkrétní technologii chemické výroby, na které se uchazeč před zkouškou dohodne s autorizovanou osobou. Na praktickém příkladu uchazeč vysvětlí např. průběh technologického procesu, úpravu surovin pro výrobu, provádění analýz apod. Uchazeč bude mít k dispozici běžně využívanou dokumentaci jako pracovní instrukce, provozní řád, bezpečnostní listy, technologickou dokumentaci, případně předepsané normy.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30.4.2026 15:03:21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 alespoň 10 let praxe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 alespoň 5 let odborné praxe v řídicí funkci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 alespoň 10 let odborné praxe v řídicích pozicích v oblasti chemických výrob,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F3E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432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CFED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