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D3AE4E" Type="http://schemas.openxmlformats.org/officeDocument/2006/relationships/officeDocument" Target="/word/document.xml" /><Relationship Id="coreR42D3AE4E" Type="http://schemas.openxmlformats.org/package/2006/relationships/metadata/core-properties" Target="/docProps/core.xml" /><Relationship Id="customR42D3AE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Vlakvedoucí osobní přepravy (kód: 37-015-H)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osobní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oběhu a technických parametrech železničních souprav a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Vypočítávání jízdného, dovozného, poplatků, penále a pokut, přirážek podle platných tarifů v osobní železniční dopravě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Vyhotovování podkladů pro jízdu vlaků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železničních návěstidel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železničních výhybek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nakládky a překládky zavazadel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Koordinace posunu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Výprava vlaku z železniční stanice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19.01.2010 do: 06.07.2015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Vlakvedoucí osobní přepravy,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pro uchazeče o tuto dílčí kvalifikaci je získání dílčí kvalifikace Průvodčí osobní přepravy. V případě, že uchazeč tuto dílčí kvalifikaci nezískal, je součástí zkoušky i ověření kompetencí podle hodnotících standardů DK Průvodčí osobní přepravy.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prokazatelně doložit absolvování Kabinetu bezpečnosti práce, jehož součástí jsou zejména podmínky pro bezpečnost a ochranu zdraví při práci, požární ochrany (PO) a poskytování první pomoci.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je vyžadována (odkaz na povolání v NSP - http://katalog.nsp.cz/karta_tp.aspx?id_jp=2265&amp;kod_sm1=14).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Vlakvedoucí osobní přepravy,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Expertním týmem železničář (ETŽ), v němž byly zastoupeny: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dopravy České republiky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instituce: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s., GŘ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 doprava, a. s.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VIAMONT, a. s.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 Doprava,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Vlakvedoucí osobní přepravy,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