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6749AD" Type="http://schemas.openxmlformats.org/officeDocument/2006/relationships/officeDocument" Target="/word/document.xml" /><Relationship Id="coreR406749AD" Type="http://schemas.openxmlformats.org/package/2006/relationships/metadata/core-properties" Target="/docProps/core.xml" /><Relationship Id="customR406749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povlakových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povlakových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povlakových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povlakových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povlakových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podlah z PVC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vinylových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podlah linoleum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textilních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povlakových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13.6.2026 14:41:36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povlakových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povlakových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povlakových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13.6.2026 14:41:36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povlakových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povlakových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povlakových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13.6.2026 14:41:36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povlakových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 xml:space="preserve">b) Změřit rozměry podlahy a zhotovit náčrt půdorysu 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povlakovou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povlakových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materiálu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povlakových podlah z PVC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 xml:space="preserve">a) Navrhnout pracovní postup zhotovení 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13.6.2026 14:41:36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povlakových vinylových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zvukové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Zhotovování povlakových podlah linoleum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zvukové izolační podložky</w:t>
      </w:r>
    </w:p>
    <w:p>
      <w:pPr>
        <w:pStyle w:val="P28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782"/>
        <w:rPr>
          <w:rStyle w:val="C18"/>
          <w:rtl w:val="0"/>
        </w:rPr>
      </w:pPr>
      <w:r>
        <w:rPr>
          <w:rStyle w:val="C18"/>
          <w:rtl w:val="0"/>
        </w:rPr>
        <w:t>Zhotovování povlakových textilních podlah</w:t>
      </w:r>
    </w:p>
    <w:p>
      <w:pPr>
        <w:pStyle w:val="P24"/>
        <w:framePr w:w="6713" w:h="376" w:hRule="exact" w:wrap="none" w:vAnchor="page" w:hAnchor="margin" w:x="45" w:y="112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6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125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43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31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9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3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96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39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4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13.6.2026 14:41:36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povlakových podlah na podlaze s podlahovým vytápěním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Opravy, údržba a ošetřování povlakových podlah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 xml:space="preserve">b) Navrhnout technologii a pracovní postup  opravy podlahy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Nakládání s odpady při zhotovování povlakových podlah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933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povlakových podlah</w:t>
      </w:r>
    </w:p>
    <w:p>
      <w:pPr>
        <w:pStyle w:val="P24"/>
        <w:framePr w:w="6713" w:h="376" w:hRule="exact" w:wrap="none" w:vAnchor="page" w:hAnchor="margin" w:x="45" w:y="113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33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09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g) Dodržovat BOZP, PO a hygieny práce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49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13.6.2026 14:41:36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98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505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34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624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348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07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574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198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371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196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05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927" w:h="230" w:hRule="exact" w:wrap="none" w:vAnchor="page" w:hAnchor="margin" w:x="8188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9158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9331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216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1216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1216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1216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1216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1216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5966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25" w:h="230" w:hRule="exact" w:wrap="none" w:vAnchor="page" w:hAnchor="margin" w:x="7190" w:y="12166"/>
        <w:rPr>
          <w:rStyle w:val="C26"/>
          <w:rtl w:val="0"/>
        </w:rPr>
      </w:pPr>
      <w:r>
        <w:rPr>
          <w:rStyle w:val="C26"/>
          <w:rtl w:val="0"/>
        </w:rPr>
        <w:t>povlakových</w:t>
      </w:r>
    </w:p>
    <w:p>
      <w:pPr>
        <w:pStyle w:val="P37"/>
        <w:framePr w:w="673" w:h="230" w:hRule="exact" w:wrap="none" w:vAnchor="page" w:hAnchor="margin" w:x="8457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172" w:y="121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676" w:y="1216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7" w:y="1239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79" w:y="1239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406" w:y="1239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86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86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86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8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8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86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86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86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86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86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86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86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10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35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35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35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3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35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35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58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8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83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83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8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83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8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83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83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83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08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4086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408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40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408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4086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40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4086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40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408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408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408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55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55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55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55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5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5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5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55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5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55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55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55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78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78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78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78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7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78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787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787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787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8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8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8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8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8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8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13.6.2026 14:41:36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3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903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03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povlakových podlah nebo nejméně 5 let ve funkci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povolání podlahář povlakových podlah nebo nejméně 5 let ve funkci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průmysl, nejméně 5 let odborné praxe v povolání podlahář v oblasti povlakových podlah nebo nejméně 5 let ve funkci učitele odborných předmětů, nebo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36-036-H Podlahář/podlahářka povlakových podlah a střední vzdělání s výučním listem nebo maturitní zkouškou a nejméně 5 let odborné praxe v oblasti povlakových podlah.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13.6.2026 14:41:36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8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provedení praktické části zkoušky se zdrojem elektrické energie 230V/16A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Měřicí přístroje pro zkoušku zbytkové vlhkosti podkladového betonu a teploty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Nástroje, nářadí a strojní zařízení: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jednokotoučová bruska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unášeče: kámen, brusný papír, plech s diamantem)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elektrické nářadí na úpravu podkladu - bourací kladivo, drážkovačka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včetně různých čepelí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podlahářský válec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špachtli a štětku na nanášení lepidel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Materiál: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penetrační nátěr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nivelizační stěrka (sádrová nebo cementová)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lepidla disperzní, chloroprenové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páska na kobercové lišty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textilie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marmoleum, vinyl (lepený), korek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svařovací šňůra (pro sváření za tepla)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studený spoj na svařování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lišta PVC, kobercová, korková, MDF sokl PVC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Právní předpisy a technické normy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541/2020 Sb., o odpadech ve znění pozdějších předpisů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13.6.2026 14:41:36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13.6.2026 14:41:36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13.6.2026 14:41:36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2EC1B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E4D78D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D50156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F70EB1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