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534A7" Type="http://schemas.openxmlformats.org/officeDocument/2006/relationships/officeDocument" Target="/word/document.xml" /><Relationship Id="coreR539534A7" Type="http://schemas.openxmlformats.org/package/2006/relationships/metadata/core-properties" Target="/docProps/core.xml" /><Relationship Id="customR53953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29.08.2023</w:t>
      </w:r>
    </w:p>
    <w:p>
      <w:pPr>
        <w:pStyle w:val="P21"/>
        <w:framePr w:w="7654" w:h="331" w:hRule="exact" w:wrap="none" w:vAnchor="page" w:hAnchor="margin" w:x="28" w:y="15940"/>
        <w:rPr>
          <w:rStyle w:val="C16"/>
          <w:rtl w:val="0"/>
        </w:rPr>
      </w:pPr>
      <w:r>
        <w:rPr>
          <w:rStyle w:val="C16"/>
          <w:rtl w:val="0"/>
        </w:rPr>
        <w:t>Skladník/skladnice, 13.6.2026 11:19:16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11:19:16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11:19:16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13.6.2026 11:19:16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https://nsp.cz/jednotka-prace/skladnik#zdravotni-zpusobilost). V případě, že bude uchazeč vykonávat zkoušku v potravinářském provozu musí doložit i platný zdravotní průkaz.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11:19:16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13.6.2026 11:19:16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13.6.2026 11:19:16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11:19:16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34C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4A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729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