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D7AF5" Type="http://schemas.openxmlformats.org/officeDocument/2006/relationships/officeDocument" Target="/word/document.xml" /><Relationship Id="coreR36DD7AF5" Type="http://schemas.openxmlformats.org/package/2006/relationships/metadata/core-properties" Target="/docProps/core.xml" /><Relationship Id="customR36DD7A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7:03:15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http://katalog.nsp.cz/karta_p.aspx?id_jp=101166&amp;kod_sm1=17)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nutno doložit platným zdravotním průkazem.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v cizím jazyce (úroveň A2)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A2 Společného evropského referenčního rámce pro jazyky, je možné toto kritérium považovat za splněné.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Prokázat schopnost ústně komunikovat se zákazníkem v cizím jazyce na základní úrovni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Bude prakticky ověřena ústně autorizovanou osobou, resp. autorizovaným zástupcem autorizované osoby.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Ústní ověření by mělo trvat maximálně 10 minut.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A1 Společného evropského referenčního rámce pro jazyky, je možné toto kritérium považovat za splněné.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7:03:15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29.10.2026 7:03:15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