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F1CBE" Type="http://schemas.openxmlformats.org/officeDocument/2006/relationships/officeDocument" Target="/word/document.xml" /><Relationship Id="coreR26FF1CBE" Type="http://schemas.openxmlformats.org/package/2006/relationships/metadata/core-properties" Target="/docProps/core.xml" /><Relationship Id="customR26FF1C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Jednoduché činnosti s ručním nářadím a strojním zařízením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kompetence Orientace ve vodohospodářských normách, standardech, legislativě a dokumentaci bude provedeno samostatně jako teoretická část.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Péče o břehové porosty (prořezávky, kácení, odvětvování) motorovými pilami, Údržba břehových opevnění, břehových porostů a průtočnosti koryt, Výroba malt a čerstvého betonu ze suchých směsí a Čištění koryt vodních toků a vodohospodářských zařízení, kdy uchazeč předvede schopnost provádět základní manuální činnosti z oboru vodař přímo na úseku vodního toku. Během těchto činností bude provedeno jejich ústní ověření dle hodnoticích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Řízení a obsluha drobné mechanizace, Jednoduché činnosti s ručním nářadím a strojním zařízením a Doprava materiálu a uložení na místě zpracování, ve kterých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