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3D5615" Type="http://schemas.openxmlformats.org/officeDocument/2006/relationships/officeDocument" Target="/word/document.xml" /><Relationship Id="coreR573D5615" Type="http://schemas.openxmlformats.org/package/2006/relationships/metadata/core-properties" Target="/docProps/core.xml" /><Relationship Id="customR573D56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Opravy a údržba technologických zařízení přehradních, plavebních a jezových soustav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Čištění koryt vodních toků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malých vodních elektráren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a obsluha drobné mechanizace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prevence před povodněmi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Výkon kontrolní činnosti na vodních dílech a vodních tocích a kontrola ochrany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Měření a pozorování dle programu technicko-bezpečnostního dohledu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4"/>
        <w:framePr w:w="805" w:h="607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07.07.2009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některých odborných způsobilostí lze provést též elektronickou formou v simulovaném prostředí (na modelu).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 byl připraven Sektorovou radou pro vodní hospodářství, v níž jsou zastoupeny: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Královéhradecká provozní,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Odry, státní podnik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vodního hospodářství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DLV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a.s.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Ohře, státní podnik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SOVAK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52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