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BBA145" Type="http://schemas.openxmlformats.org/officeDocument/2006/relationships/officeDocument" Target="/word/document.xml" /><Relationship Id="coreR58BBA145" Type="http://schemas.openxmlformats.org/package/2006/relationships/metadata/core-properties" Target="/docProps/core.xml" /><Relationship Id="customR58BBA1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Řemeslné zpracování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zpracování čokolády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postupu, podmínek a parametrů pro zpracování čokolády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podle technologického postupu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čokolády pro různé účely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výroba čokoládových bonbonů (pralinek), formová výroba (výroba náplní)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zpracování čokolády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polotovarů a hotových výrobků z čokolády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a ozdob z čokolády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3.11.2026 17:25:01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zpracováním čokolády na čokoládové výrobky, polevy, ozdoby, čokoládové bonbóny (cukrovinky)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zejména ruční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3.11.2026 17:25:01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3.11.2026 17:25:01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