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3AE40" Type="http://schemas.openxmlformats.org/officeDocument/2006/relationships/officeDocument" Target="/word/document.xml" /><Relationship Id="coreR1833AE40" Type="http://schemas.openxmlformats.org/package/2006/relationships/metadata/core-properties" Target="/docProps/core.xml" /><Relationship Id="customR1833AE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pohostinství a hotelového provozu; Pracovník cestovní kanceláře; Průvodce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znalostí historie a dějin kultury České republiky v průvodcovské činnosti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světových dějin a dějin kultury v cestovním ruchu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Využívání znalostí zeměpisu cestovního ruchu v České republice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Vysvětlení vztahu cestovního ruchu k životnímu prostředí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Prezentace přehledu o životě obyvatel v České republice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podmínkách činnosti průvodců v EU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Prezentace reálií a specifik cestovního ruchu v ČR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Příprava výkladu průvodce a nabídky průvodcovských služeb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skupiny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výkladu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v práci průvodce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výkonu práce průvodce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průvodce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průvodce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Informovanost o reáliích dané jazykové oblasti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28.11.2011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28.9.2026 8:33:43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 oznámením termínu o konání zkoušky zadá autorizovaná osoba/autorizovaný zástupce uchazeči zpracování písemné práce (itinerář, prezentace apod.), jejíž obsah vychází z kompetencí a kritérií hodnotícího standardu - zejména odborné způsobilosti A.2.H.3.2.001 Příprava výkladu průvodce a nabídky průvodcovských služeb - kritéria hodnocení d), e). Zpracovanou písemnou práci uchazeč předloží u zkoušky. Na její zpracování musí mít uchazeč alespoň 2 týdny. Dále stanoví místo konání zkoušky (včetně praktické zkoušky) a které pomůcky uchazeč při zkoušce smí používat. Uchazeč ve stanoveném termínu sdělí cizí jazyk (cizí jazyky), ve kterém bude ověřována jazyková způsobilost, tj. 3 poslední uvedené kompetence (ústní komunikace v cizím jazyce pro práci průvodce; písemná komunikace v cizím jazyce pro práci průvodce; informovanost o reáliích dané jazykové oblasti).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v minulosti složil jazykovou zkoušku úrovně minimálně B2 podle Společného evropského referenčního rámce pro jazyky a doloží její úspěšné vykonání příslušným certifikátem, lze ji pro účely této DK uznat v plném rozsahu a uchazeč nemusí konat 3 poslední uvedené kompetence: ústní komunikace v cizím jazyce při výkonu práce průvodce, písemná komunikace v cizím jazyce při výkonu práce průvodce, informovanost o reáliích dané jazykové oblasti (viz výše).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i v terénu, kdy jsou prověřována předepsaná kritéria podle jednotlivých bodů kvalifikace.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 Musí přitom splňovat následující pravidla: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1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dílčí kvalifikace ve výčtu získaných odborných způsobilostí též specifikaci cizího jazyka (cizích jazyků), kterého se týkají odborné způsobilosti „Ústní komunikace v cizím jazyce při výkonu práce průvodce“a „Písemná komunikace v cizím jazyce při výkonu práce průvodce“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28.9.2026 8:33:43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6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cestovního ruchu, 28.9.2026 8:33:43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