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DA07D" Type="http://schemas.openxmlformats.org/officeDocument/2006/relationships/officeDocument" Target="/word/document.xml" /><Relationship Id="coreRB9DA07D" Type="http://schemas.openxmlformats.org/package/2006/relationships/metadata/core-properties" Target="/docProps/core.xml" /><Relationship Id="customRB9DA0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Prokazování znalostí historie a dějin kultury v České republice ve vztahu k cestovnímu ruchu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světových dějin a dějin kultury ve vztahu k cestovnímu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znalostí o životním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současném právním a politickém systému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současném právním a politickém systému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Prokázání podrobných tematických znalostí reálií a specifik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Prokázání znalostí techniky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Zároveň s oznámením termínu o konání zkoušky zadá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e), f).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konat. 3 poslední vedené kompetence (viz výše).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 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Národním ústavem odborného vzdělávání v Praze ve spolupráci s Asociací průvodců České republiky a Ministerstvem pro místní rozvoj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29.10.2026 2:23:24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