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EF9FB" Type="http://schemas.openxmlformats.org/officeDocument/2006/relationships/officeDocument" Target="/word/document.xml" /><Relationship Id="coreR378EF9FB" Type="http://schemas.openxmlformats.org/package/2006/relationships/metadata/core-properties" Target="/docProps/core.xml" /><Relationship Id="customR378EF9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Strážný (kód: 68-008-E)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ochrany a ostrahy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Obsluhování technických bezpečnostních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Aplikování právních základů bezpečnostní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osob a vozidel na vrátnicích a branách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Kontrolní činnost ve střežených objektech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Dozor v objektech a na veřejných prostranstvích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jednoduchých úkonů k zajištění a obnovení bezpečnosti a ke snížení ztrát na majetku a zdraví osob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Používání věcných bezpečnostních prostředků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dokumentace o ostraze, kontrolách a poskytnutých službách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19.06.2009 do: 23.01.2013</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ochrany a ostrahy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zásad ochrany a ostrahy majetku a osob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příslušných zákonů, nařízení a vyhlášek, které vymezují pravomoci, odpovědnost a způsob činnosti při ostraze a ochraně majetku a osob</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Písemně</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zásady bezpečnosti, požární ochrany, ochrany života a zdraví osob a ochrany životního prostředí, předcházení vzniku požáru, technické a ekologické havárie a zásady činnosti při úrazu</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Písemně</w:t>
      </w:r>
    </w:p>
    <w:p>
      <w:pPr>
        <w:pStyle w:val="P32"/>
        <w:framePr w:w="10710" w:h="248" w:hRule="exact" w:wrap="none" w:vAnchor="page" w:hAnchor="margin" w:x="28" w:y="5679"/>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6115"/>
        <w:rPr>
          <w:rStyle w:val="C18"/>
          <w:rtl w:val="0"/>
        </w:rPr>
      </w:pPr>
      <w:r>
        <w:rPr>
          <w:rStyle w:val="C18"/>
          <w:rtl w:val="0"/>
        </w:rPr>
        <w:t>Obsluhování technických bezpečnostních systémů</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Prokázat znalost obecných zásad použití a obsluhy technických bezpečnostních systémů při jejich nasazení k ostraze majetku a osob</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Písemně</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Prokázat znalost zásad ochrany osobních údajů při jejich zpracování technickými bezpečnostními systémy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Písemně</w:t>
      </w:r>
    </w:p>
    <w:p>
      <w:pPr>
        <w:pStyle w:val="P32"/>
        <w:framePr w:w="10710" w:h="248" w:hRule="exact" w:wrap="none" w:vAnchor="page" w:hAnchor="margin" w:x="28" w:y="8257"/>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693"/>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Prokázat znalost zásad součinnosti s hasičskými jednotkami, záchrannou službou a havarijními službami při odvracení škod na majetku a zdraví osob podle platných ustanovení příslušných zákonů, znát čísla tísňového volání</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32"/>
        <w:framePr w:w="10710" w:h="248" w:hRule="exact" w:wrap="none" w:vAnchor="page" w:hAnchor="margin" w:x="28" w:y="11267"/>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právních základů bezpečnostní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Písemně</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Písemně</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Prokázat znalost ustanovení trestního zákona a zákona o přestupcích v rozsahu, který se bezprostředně týká výkonu činnosti a jejich aplikaci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Písemně</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Orientovat se v právních ustanoveních, které vymezují právo na držení a nošení zbraně při výkonu povolání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Písemně</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Prokázat znalost ustanovení živnostenského zákona o podmínkách provozování a výkonu činnosti ostraha majetku a osob</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Písemně</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Prokázat znalost právních ustanovení na ochranu osobních údajů při jejich zpracování při výkonu činnosti</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Prokázat znalost zásad ochrany osobních údajů při jejich zpracování technickými bezpečnostními systémy ve smyslu zákona o ochraně osobních údajů</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Písemně</w:t>
      </w:r>
    </w:p>
    <w:p>
      <w:pPr>
        <w:pStyle w:val="P32"/>
        <w:framePr w:w="10710" w:h="248" w:hRule="exact" w:wrap="none" w:vAnchor="page" w:hAnchor="margin" w:x="28" w:y="9507"/>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9943"/>
        <w:rPr>
          <w:rStyle w:val="C18"/>
          <w:rtl w:val="0"/>
        </w:rPr>
      </w:pPr>
      <w:r>
        <w:rPr>
          <w:rStyle w:val="C18"/>
          <w:rtl w:val="0"/>
        </w:rPr>
        <w:t>Kontrola osob a vozidel na vrátnicích a branách</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Zkontrolovat oprávněnost vstupu osoby, odbavit návštěvu, vysvětlit pravidla a postup</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Prakticky a ústně</w:t>
      </w:r>
    </w:p>
    <w:p>
      <w:pPr>
        <w:pStyle w:val="P16"/>
        <w:framePr w:w="6710" w:h="607" w:hRule="exact" w:wrap="none" w:vAnchor="page" w:hAnchor="margin" w:x="45" w:y="11365"/>
        <w:rPr>
          <w:rStyle w:val="C3"/>
          <w:rtl w:val="0"/>
        </w:rPr>
      </w:pPr>
    </w:p>
    <w:p>
      <w:pPr>
        <w:pStyle w:val="P17"/>
        <w:framePr w:w="6658" w:h="480" w:hRule="exact" w:wrap="none" w:vAnchor="page" w:hAnchor="margin" w:x="71" w:y="11421"/>
        <w:rPr>
          <w:rStyle w:val="C13"/>
          <w:rtl w:val="0"/>
        </w:rPr>
      </w:pPr>
      <w:r>
        <w:rPr>
          <w:rStyle w:val="C13"/>
          <w:rtl w:val="0"/>
        </w:rPr>
        <w:t>b) Zkontrolovat oprávněnost vjezdu/výjezdu vozidla a vývozu věcí z objektu, vysvětlit pravidla a postup</w:t>
      </w:r>
    </w:p>
    <w:p>
      <w:pPr>
        <w:pStyle w:val="P30"/>
        <w:framePr w:w="3921" w:h="607" w:hRule="exact" w:wrap="none" w:vAnchor="page" w:hAnchor="margin" w:x="6800" w:y="11365"/>
        <w:rPr>
          <w:rStyle w:val="C3"/>
          <w:rtl w:val="0"/>
        </w:rPr>
      </w:pPr>
    </w:p>
    <w:p>
      <w:pPr>
        <w:pStyle w:val="P31"/>
        <w:framePr w:w="3839" w:h="480" w:hRule="exact" w:wrap="none" w:vAnchor="page" w:hAnchor="margin" w:x="6856" w:y="11421"/>
        <w:rPr>
          <w:rStyle w:val="C22"/>
          <w:rtl w:val="0"/>
        </w:rPr>
      </w:pPr>
      <w:r>
        <w:rPr>
          <w:rStyle w:val="C22"/>
          <w:rtl w:val="0"/>
        </w:rPr>
        <w:t>Prakticky a ústně</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c) Popsat pravidla postupu proti cizí či nežádoucí osobě zjištěné na volném prostranství a taktiku činnosti</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d) Provést kontrolu oprávněnosti odnášení věcí, zdůvodnit oprávnění a zásady pro kontrolu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Prakticky a ústně</w:t>
      </w:r>
    </w:p>
    <w:p>
      <w:pPr>
        <w:pStyle w:val="P32"/>
        <w:framePr w:w="10710" w:h="248" w:hRule="exact" w:wrap="none" w:vAnchor="page" w:hAnchor="margin" w:x="28" w:y="13299"/>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ve střežených objektech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povinnosti a pravidla chování strážného na obchůzce, popsat hlavní taktické zásady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preventivně kontrolní opatření a činnosti strážného při kontrole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Ústně</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taktiku činnosti při kontrole narušeného objektu (místnosti)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Ústně</w:t>
      </w:r>
    </w:p>
    <w:p>
      <w:pPr>
        <w:pStyle w:val="P32"/>
        <w:framePr w:w="10710" w:h="248" w:hRule="exact" w:wrap="none" w:vAnchor="page" w:hAnchor="margin" w:x="28" w:y="467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5109"/>
        <w:rPr>
          <w:rStyle w:val="C18"/>
          <w:rtl w:val="0"/>
        </w:rPr>
      </w:pPr>
      <w:r>
        <w:rPr>
          <w:rStyle w:val="C18"/>
          <w:rtl w:val="0"/>
        </w:rPr>
        <w:t>Dozor v objektech a na veřejných prostranstvích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Vyzvat narušitele klidu, pořádku a důstojného průběhu akce k dodržování stanovených zásad, vyjmenovat taktické zásady činnosti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Prakticky a ústně</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kontrolu, zda návštěvník veřejné akce nevnáší do střeženého areálu zakázané věci, popsat oprávnění a zásady pro kontrolu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Prakticky a ústně</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Zaujmout pozici k ostraze doprovázené osoby na veřejném prostranství, popsat taktiku činnosti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Prakticky a ústně</w:t>
      </w:r>
    </w:p>
    <w:p>
      <w:pPr>
        <w:pStyle w:val="P32"/>
        <w:framePr w:w="10710" w:h="248" w:hRule="exact" w:wrap="none" w:vAnchor="page" w:hAnchor="margin" w:x="28" w:y="7858"/>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294"/>
        <w:rPr>
          <w:rStyle w:val="C18"/>
          <w:rtl w:val="0"/>
        </w:rPr>
      </w:pPr>
      <w:r>
        <w:rPr>
          <w:rStyle w:val="C18"/>
          <w:rtl w:val="0"/>
        </w:rPr>
        <w:t>Provádění jednoduchých úkonů k zajištění a obnovení bezpečnosti a ke snížení ztrát na majetku a zdraví osob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1055" w:hRule="exact" w:wrap="none" w:vAnchor="page" w:hAnchor="margin" w:x="45" w:y="9317"/>
        <w:rPr>
          <w:rStyle w:val="C3"/>
          <w:rtl w:val="0"/>
        </w:rPr>
      </w:pPr>
    </w:p>
    <w:p>
      <w:pPr>
        <w:pStyle w:val="P13"/>
        <w:framePr w:w="6658" w:h="928" w:hRule="exact" w:wrap="none" w:vAnchor="page" w:hAnchor="margin" w:x="71" w:y="9373"/>
        <w:rPr>
          <w:rStyle w:val="C11"/>
          <w:rtl w:val="0"/>
        </w:rPr>
      </w:pPr>
      <w:r>
        <w:rPr>
          <w:rStyle w:val="C11"/>
          <w:rtl w:val="0"/>
        </w:rPr>
        <w:t>a) Zvolit vhodnou taktiku činnosti pro zadanou situaci (např. obecné narušení objektu cizí osobou, požár, havárie elektrického proudu, havárie vody, nadměrný únik škodlivých látek, technických plynů) a zdůvodnit její výběr, přivolat příslušnou odbornou pomoc</w:t>
      </w:r>
    </w:p>
    <w:p>
      <w:pPr>
        <w:pStyle w:val="P28"/>
        <w:framePr w:w="3921" w:h="1055" w:hRule="exact" w:wrap="none" w:vAnchor="page" w:hAnchor="margin" w:x="6800" w:y="9317"/>
        <w:rPr>
          <w:rStyle w:val="C3"/>
          <w:rtl w:val="0"/>
        </w:rPr>
      </w:pPr>
    </w:p>
    <w:p>
      <w:pPr>
        <w:pStyle w:val="P29"/>
        <w:framePr w:w="3839" w:h="928" w:hRule="exact" w:wrap="none" w:vAnchor="page" w:hAnchor="margin" w:x="6856" w:y="9373"/>
        <w:rPr>
          <w:rStyle w:val="C21"/>
          <w:rtl w:val="0"/>
        </w:rPr>
      </w:pPr>
      <w:r>
        <w:rPr>
          <w:rStyle w:val="C21"/>
          <w:rtl w:val="0"/>
        </w:rPr>
        <w:t>Prakticky a ústně</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Popsat pravidla a taktiku činnosti bezpečnostního zásahu, který vede k dočasnému omezení osobní svobody osoby přistižené při páchání trestného činu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Ústně</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Popsat pravidla a taktiku činnosti bezpečnostního zásahu v místech, kde byl spáchán trestní čin</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Ústně</w:t>
      </w:r>
    </w:p>
    <w:p>
      <w:pPr>
        <w:pStyle w:val="P32"/>
        <w:framePr w:w="10710" w:h="248" w:hRule="exact" w:wrap="none" w:vAnchor="page" w:hAnchor="margin" w:x="28" w:y="1192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12359"/>
        <w:rPr>
          <w:rStyle w:val="C18"/>
          <w:rtl w:val="0"/>
        </w:rPr>
      </w:pPr>
      <w:r>
        <w:rPr>
          <w:rStyle w:val="C18"/>
          <w:rtl w:val="0"/>
        </w:rPr>
        <w:t>Používání věcných bezpečnostních prostředků</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Popsat pravidla, vysvětlit postup použití zadaného věcného prostředku a předvést v modelové situaci</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Prakticky a ústně</w:t>
      </w:r>
    </w:p>
    <w:p>
      <w:pPr>
        <w:pStyle w:val="P16"/>
        <w:framePr w:w="6710" w:h="376" w:hRule="exact" w:wrap="none" w:vAnchor="page" w:hAnchor="margin" w:x="45" w:y="13781"/>
        <w:rPr>
          <w:rStyle w:val="C3"/>
          <w:rtl w:val="0"/>
        </w:rPr>
      </w:pPr>
    </w:p>
    <w:p>
      <w:pPr>
        <w:pStyle w:val="P17"/>
        <w:framePr w:w="6658" w:h="249" w:hRule="exact" w:wrap="none" w:vAnchor="page" w:hAnchor="margin" w:x="71" w:y="13837"/>
        <w:rPr>
          <w:rStyle w:val="C13"/>
          <w:rtl w:val="0"/>
        </w:rPr>
      </w:pPr>
      <w:r>
        <w:rPr>
          <w:rStyle w:val="C13"/>
          <w:rtl w:val="0"/>
        </w:rPr>
        <w:t>b) Popsat obecné zásady komunikace při použití spojovacích prostředků</w:t>
      </w:r>
    </w:p>
    <w:p>
      <w:pPr>
        <w:pStyle w:val="P30"/>
        <w:framePr w:w="3921" w:h="376" w:hRule="exact" w:wrap="none" w:vAnchor="page" w:hAnchor="margin" w:x="6800" w:y="13781"/>
        <w:rPr>
          <w:rStyle w:val="C3"/>
          <w:rtl w:val="0"/>
        </w:rPr>
      </w:pPr>
    </w:p>
    <w:p>
      <w:pPr>
        <w:pStyle w:val="P31"/>
        <w:framePr w:w="3839" w:h="249" w:hRule="exact" w:wrap="none" w:vAnchor="page" w:hAnchor="margin" w:x="6856" w:y="13837"/>
        <w:rPr>
          <w:rStyle w:val="C22"/>
          <w:rtl w:val="0"/>
        </w:rPr>
      </w:pPr>
      <w:r>
        <w:rPr>
          <w:rStyle w:val="C22"/>
          <w:rtl w:val="0"/>
        </w:rPr>
        <w:t>Ústně</w:t>
      </w:r>
    </w:p>
    <w:p>
      <w:pPr>
        <w:pStyle w:val="P32"/>
        <w:framePr w:w="10710" w:h="248" w:hRule="exact" w:wrap="none" w:vAnchor="page" w:hAnchor="margin" w:x="28" w:y="14271"/>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ostraze, kontrolách a poskytnutých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údaje, které musí služební záznam o události obsahovat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Zdůvodnit význam vedení dokumentace o ostraze a kontrolách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Ústně</w:t>
      </w:r>
    </w:p>
    <w:p>
      <w:pPr>
        <w:pStyle w:val="P32"/>
        <w:framePr w:w="10710" w:h="248" w:hRule="exact" w:wrap="none" w:vAnchor="page" w:hAnchor="margin" w:x="28" w:y="4066"/>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zajistí a zveřejní místo konání zkoušky a další nezbytné organizační pokyny, stanoví, které pomůcky uchazeč při zkoušce nesmí, resp. smí používat.</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zkoušek a s požadavky bezpečnosti a ochrany zdraví při práci (BOZP), požární ochrany (PO) a dalšími omezeními.</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(odborné způsobilosti: Provádění ochrany a ostrahy majetku a osob; Obsluhování technických bezpečnostních systémů; Uplatňování zásad součinnosti se složkami Integrovaného záchranného systému, zejména s Policií ČR a vymezenými osobami a Aplikování právních základů bezpečnostní činnosti), se prověřují písemnou zkouškou provedenou formou testu. Autorizovaná osoba sestaví test náhodným generováním ze souboru otázek a při přípravě testu zabezpečí vždy různé kombinace pořadí možných odpovědí pod písmeny a), b), c) u jednotlivých otázek. Aktuální soubor testových otázek bude spravován a v elektronické podobě uchováván autorizujícím orgánem. Autorizovaným osobám bude předán při autorizaci a dále při aktualizaci soubor testových otázek na datovém nosiči. Celkový počet otázek v testu musí být 30. Početní zastoupení jednotlivých okruhů otázek v testu je stanoveno klíčem, který je součástí souboru otázek. Určený člen komise poučí uchazeče o způsobu práce s testem před zahájením časového limitu.</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bude uchováváno v souladu s § 8 vyhlášky č. 208/2007 Sb. o podrobnostech stanovených k provedení zákona o uznávání výsledků dalšího vzdělávání.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Ústní/praktická zkouška je založena na řešení konkrétních situací. Uchazeč musí vyřešit dvě typové situace vždy jednu ze skupiny A a jednu ze skupiny B ze souboru 30 typových situací. Aktuální soubor typových situací bude spravován a v elektronické podobě uchováván autorizujícím orgánem. Autorizovaným osobám bude předán při autorizaci a dále při aktualizaci soubor testových otázek na datovém nosiči. Typové situace jsou rozděleny do dvou skupin, kdy skupina A primárně ověřuje odborné způsobilosti: Kontrola osob a vozidel na vrátnicích a branách; Kontrolní činnost ve střežených objektech; Dozor v objektech a na veřejných prostranstvích a skupina B primárně ověřuje odborné způsobilosti: Provádění jednoduchých úkonů k zajištění a obnovení bezpečnosti a ke snížení ztrát na majetku a zdraví osob; Používání věcných bezpečnostních prostředků; odborná způsobilost Vedení dokumentace o ostraze, kontrolách a poskytnutých službách je ověřována u všech typových situací.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3234"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Výsledné hodnocení</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Komise hodnotí uchazeče pro každou prověřovanou odbornou způsobilost. Hodnocení se stanoví zvlášť pro písemnou zkoušku (test) a zvlášť pro každé prověřované kritérium praktické a ústní zkoušky. Výsledky zaznamenává do záznamu o průběhu a výsledku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zkoušky je nutné zodpovědět nejméně 80 %, to je 24 otázek správně. Úspěšné vykonání písemné zkoušky je podmínkou pro konání praktické a ústní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zkoušce musí být splněny všechny úkoly (otázky). Při plnění úkolu (odpovědi) se připouští dvě odchýlení. Za odchýlení se považuje, použití nesprávného výrazu nebo záměna pořadí činností, které nemají vliv na celkové provedení nebo výsledek prověřovaného kritéria.</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 „vyhověl“ nebo „nevyhověl“ v závislosti na stanovení závaznosti, resp. nezávaznosti jednotlivých kritérií u každé způsobilosti. Návrh na výsledné hodnocení zní buď „vyhověl“, pokud uchazeč vyhověl pro všechny způsobilosti, nebo „nevyhověl, pokud uchazeč pro některou způsobilost nevyhověl.</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tříčlennou zkušební komisí složenou z autorizovaných osob nebo zástupců autorizovaných osob právnické osoby.</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komise musí splňovat minimální kvalifikační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vysokoškolské vzdělání získané absolvováním studia v bakalářském studijním programu a minimálně 5 let praxe v oboru ostraha majetku a osob, z toho minimálně dva roky v posledních pěti letech před podáním žádosti o autorizaci.</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(viz část první, Hlava II, díl 1/§3/1b.)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 (doložit osvědčením).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Členové komise musí mít nejméně základní dovednosti práce s počítačem a s internetem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a materiálně zajistit řádné konání zkoušky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 technické zázemí v dále uvedeném rozsahu:</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umožňující absolvování písemného testu </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věcné prostředky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navrhne při zkouškách využívat materiálně technické vybavení jiné organizace, přiloží k žádosti o autorizaci kopii smlouvy o jeho využívání nebo pronájmu.</w:t>
      </w:r>
    </w:p>
    <w:p>
      <w:pPr>
        <w:pStyle w:val="P33"/>
        <w:framePr w:w="10766" w:h="1376" w:hRule="exact" w:wrap="none" w:vAnchor="page" w:hAnchor="margin" w:x="0" w:y="10224"/>
        <w:rPr>
          <w:rStyle w:val="C3"/>
          <w:rtl w:val="0"/>
        </w:rPr>
      </w:pPr>
    </w:p>
    <w:p>
      <w:pPr>
        <w:pStyle w:val="P35"/>
        <w:framePr w:w="10710" w:h="340" w:hRule="exact" w:wrap="none" w:vAnchor="page" w:hAnchor="margin" w:x="28" w:y="10224"/>
        <w:rPr>
          <w:rStyle w:val="C25"/>
          <w:rtl w:val="0"/>
        </w:rPr>
      </w:pPr>
      <w:r>
        <w:rPr>
          <w:rStyle w:val="C25"/>
          <w:rtl w:val="0"/>
        </w:rPr>
        <w:t>Doba přípravy na zkoušku</w:t>
      </w:r>
    </w:p>
    <w:p>
      <w:pPr>
        <w:keepNext w:val="0"/>
        <w:keepLines w:val="0"/>
        <w:framePr w:w="10766" w:h="1036" w:hRule="exact" w:wrap="none" w:vAnchor="page" w:hAnchor="margin" w:x="0" w:y="10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1827"/>
        <w:rPr>
          <w:rStyle w:val="C3"/>
          <w:rtl w:val="0"/>
        </w:rPr>
      </w:pPr>
    </w:p>
    <w:p>
      <w:pPr>
        <w:pStyle w:val="P35"/>
        <w:framePr w:w="10710" w:h="340" w:hRule="exact" w:wrap="none" w:vAnchor="page" w:hAnchor="margin" w:x="28" w:y="11827"/>
        <w:rPr>
          <w:rStyle w:val="C25"/>
          <w:rtl w:val="0"/>
        </w:rPr>
      </w:pPr>
      <w:r>
        <w:rPr>
          <w:rStyle w:val="C25"/>
          <w:rtl w:val="0"/>
        </w:rPr>
        <w:t>Doba pro vykonání zkoušky</w:t>
      </w:r>
    </w:p>
    <w:p>
      <w:pPr>
        <w:keepNext w:val="0"/>
        <w:keepLines w:val="0"/>
        <w:framePr w:w="10766" w:h="806" w:hRule="exact" w:wrap="none" w:vAnchor="page" w:hAnchor="margin" w:x="0" w:y="12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zkouška trvá maximálně 45 minut. Praktická a ústní zkouška trvá maximálně 30 minut. Obě formy zkoušky absolvuje uchazeč v jednom dni.</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služeb a zástupci následujících institucí: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Gremium Alarm</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 – sdružení zaměstnavatelů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Strážný, 28.7.2026 23:48:23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