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18956F" Type="http://schemas.openxmlformats.org/officeDocument/2006/relationships/officeDocument" Target="/word/document.xml" /><Relationship Id="coreR3F18956F" Type="http://schemas.openxmlformats.org/package/2006/relationships/metadata/core-properties" Target="/docProps/core.xml" /><Relationship Id="customR3F18956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Strážný/strážná (kód: 68-008-E)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Strážný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ochrany a ostrahy majetku a osob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Obsluhování technických bezpečnostních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zásad součinnosti se složkami integrovaného záchranného systému, zejména s Policií ČR a vymezenými osobami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Aplikování právních základů bezpečnostní činnosti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osob a vozidel na vrátnicích a branách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Kontrolní činnost ve střežených objektech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Dozor v objektech a na veřejných prostranstvích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jednoduchých úkonů k zajištění a obnovení bezpečnosti a ke snížení ztrát na majetku a zdraví osob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Používání věcných bezpečnostních prostředků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dokumentace o ostraze, kontrolách a poskytnutých službách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Provádění ochrany a ostrahy majetku a osob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Prokázat znalost zásad ochrany a ostrahy majetku a osob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Prokázat znalost ustanovení příslušných zákonů, nařízení a vyhlášek, které vymezují pravomoci, odpovědnost a způsob činnosti při ostraze a ochraně majetku a osob</w:t>
      </w:r>
    </w:p>
    <w:p>
      <w:pPr>
        <w:pStyle w:val="P30"/>
        <w:framePr w:w="3921" w:h="831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Prokázat znalost zásad bezpečnosti, požární ochrany, ochrany života a zdraví osob a ochrany životního prostředí, předcházení vzniku požáru a technickým a ekologickým haváriím a zásad činnosti při úrazu</w:t>
      </w:r>
    </w:p>
    <w:p>
      <w:pPr>
        <w:pStyle w:val="P28"/>
        <w:framePr w:w="3921" w:h="831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5679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6115"/>
        <w:rPr>
          <w:rStyle w:val="C18"/>
          <w:rtl w:val="0"/>
        </w:rPr>
      </w:pPr>
      <w:r>
        <w:rPr>
          <w:rStyle w:val="C18"/>
          <w:rtl w:val="0"/>
        </w:rPr>
        <w:t>Obsluhování technických bezpečnostních systémů</w:t>
      </w:r>
    </w:p>
    <w:p>
      <w:pPr>
        <w:pStyle w:val="P24"/>
        <w:framePr w:w="6713" w:h="376" w:hRule="exact" w:wrap="none" w:vAnchor="page" w:hAnchor="margin" w:x="45" w:y="65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6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5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6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693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6986"/>
        <w:rPr>
          <w:rStyle w:val="C11"/>
          <w:rtl w:val="0"/>
        </w:rPr>
      </w:pPr>
      <w:r>
        <w:rPr>
          <w:rStyle w:val="C11"/>
          <w:rtl w:val="0"/>
        </w:rPr>
        <w:t>a) Prokázat znalost obecných zásad konstrukce, použití a obsluhy technických bezpečnostních systémů při jejich nasazení k ostraze majetku a osob</w:t>
      </w:r>
    </w:p>
    <w:p>
      <w:pPr>
        <w:pStyle w:val="P28"/>
        <w:framePr w:w="3921" w:h="831" w:hRule="exact" w:wrap="none" w:vAnchor="page" w:hAnchor="margin" w:x="6800" w:y="693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698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76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17"/>
        <w:rPr>
          <w:rStyle w:val="C13"/>
          <w:rtl w:val="0"/>
        </w:rPr>
      </w:pPr>
      <w:r>
        <w:rPr>
          <w:rStyle w:val="C13"/>
          <w:rtl w:val="0"/>
        </w:rPr>
        <w:t>b) Prokázat znalost zásad ochrany osobních údajů při jejich zpracování technickými bezpečnostními systémy</w:t>
      </w:r>
    </w:p>
    <w:p>
      <w:pPr>
        <w:pStyle w:val="P30"/>
        <w:framePr w:w="3921" w:h="607" w:hRule="exact" w:wrap="none" w:vAnchor="page" w:hAnchor="margin" w:x="6800" w:y="776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1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848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8917"/>
        <w:rPr>
          <w:rStyle w:val="C18"/>
          <w:rtl w:val="0"/>
        </w:rPr>
      </w:pPr>
      <w:r>
        <w:rPr>
          <w:rStyle w:val="C18"/>
          <w:rtl w:val="0"/>
        </w:rPr>
        <w:t>Uplatňování zásad součinnosti se složkami integrovaného záchranného systému, zejména s Policií ČR a vymezenými osobami</w:t>
      </w:r>
    </w:p>
    <w:p>
      <w:pPr>
        <w:pStyle w:val="P24"/>
        <w:framePr w:w="6713" w:h="376" w:hRule="exact" w:wrap="none" w:vAnchor="page" w:hAnchor="margin" w:x="45" w:y="956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6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94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96"/>
        <w:rPr>
          <w:rStyle w:val="C11"/>
          <w:rtl w:val="0"/>
        </w:rPr>
      </w:pPr>
      <w:r>
        <w:rPr>
          <w:rStyle w:val="C11"/>
          <w:rtl w:val="0"/>
        </w:rPr>
        <w:t>a) Prokázat znalost zásad součinnosti s Policií ČR a obecní policií při ostraze a ochraně majetku a osob podle platných ustanovení příslušných zákonů</w:t>
      </w:r>
    </w:p>
    <w:p>
      <w:pPr>
        <w:pStyle w:val="P28"/>
        <w:framePr w:w="3921" w:h="607" w:hRule="exact" w:wrap="none" w:vAnchor="page" w:hAnchor="margin" w:x="6800" w:y="994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9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105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0603"/>
        <w:rPr>
          <w:rStyle w:val="C13"/>
          <w:rtl w:val="0"/>
        </w:rPr>
      </w:pPr>
      <w:r>
        <w:rPr>
          <w:rStyle w:val="C13"/>
          <w:rtl w:val="0"/>
        </w:rPr>
        <w:t>b) Prokázat znalost zásad součinnosti s hasičskými jednotkami, záchrannou službou a havarijními službami při odvracení škod na majetku a zdraví osob podle ustanovení příslušných zákonů, znát telefonní čísla tísňového volání</w:t>
      </w:r>
    </w:p>
    <w:p>
      <w:pPr>
        <w:pStyle w:val="P30"/>
        <w:framePr w:w="3921" w:h="831" w:hRule="exact" w:wrap="none" w:vAnchor="page" w:hAnchor="margin" w:x="6800" w:y="105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0603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11491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Aplikování právních základů bezpečnostní činnosti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Orientovat se v právních ustanoveních, která vymezují práva a svobody člověka, nedotknutelnost soukromí, ochranu osobnosti, důstojnosti a cti a právo na majetek</w:t>
      </w:r>
    </w:p>
    <w:p>
      <w:pPr>
        <w:pStyle w:val="P28"/>
        <w:framePr w:w="3921" w:h="831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831" w:hRule="exact" w:wrap="none" w:vAnchor="page" w:hAnchor="margin" w:x="45" w:y="3801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3857"/>
        <w:rPr>
          <w:rStyle w:val="C13"/>
          <w:rtl w:val="0"/>
        </w:rPr>
      </w:pPr>
      <w:r>
        <w:rPr>
          <w:rStyle w:val="C13"/>
          <w:rtl w:val="0"/>
        </w:rPr>
        <w:t>b) Orientovat se v občanském právu zejména v právních ustanoveních, která vymezují právo na přiměřenou ochranu proti zásahu do vlastnických práv a právo na přiměřenou obranu</w:t>
      </w:r>
    </w:p>
    <w:p>
      <w:pPr>
        <w:pStyle w:val="P30"/>
        <w:framePr w:w="3921" w:h="831" w:hRule="exact" w:wrap="none" w:vAnchor="page" w:hAnchor="margin" w:x="6800" w:y="3801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3857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831" w:hRule="exact" w:wrap="none" w:vAnchor="page" w:hAnchor="margin" w:x="45" w:y="463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4688"/>
        <w:rPr>
          <w:rStyle w:val="C11"/>
          <w:rtl w:val="0"/>
        </w:rPr>
      </w:pPr>
      <w:r>
        <w:rPr>
          <w:rStyle w:val="C11"/>
          <w:rtl w:val="0"/>
        </w:rPr>
        <w:t>c) Prokázat znalost základních ustanovení pracovního práva, zejména povinností zaměstnance a ustanovení, která se výkonu bezpečnostní činnosti bezprostředně týkají</w:t>
      </w:r>
    </w:p>
    <w:p>
      <w:pPr>
        <w:pStyle w:val="P28"/>
        <w:framePr w:w="3921" w:h="831" w:hRule="exact" w:wrap="none" w:vAnchor="page" w:hAnchor="margin" w:x="6800" w:y="463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468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1280" w:hRule="exact" w:wrap="none" w:vAnchor="page" w:hAnchor="margin" w:x="45" w:y="5463"/>
        <w:rPr>
          <w:rStyle w:val="C3"/>
          <w:rtl w:val="0"/>
        </w:rPr>
      </w:pPr>
    </w:p>
    <w:p>
      <w:pPr>
        <w:pStyle w:val="P17"/>
        <w:framePr w:w="6658" w:h="1153" w:hRule="exact" w:wrap="none" w:vAnchor="page" w:hAnchor="margin" w:x="71" w:y="5519"/>
        <w:rPr>
          <w:rStyle w:val="C13"/>
          <w:rtl w:val="0"/>
        </w:rPr>
      </w:pPr>
      <w:r>
        <w:rPr>
          <w:rStyle w:val="C13"/>
          <w:rtl w:val="0"/>
        </w:rPr>
        <w:t>d) Prokázat znalost ustanovení trestního zákona, zákona o přestupcích a trestního řádu v rozsahu, který se bezprostředně týká výkonu činností a jejich aplikace do výkonu činnosti, zejména posouzení trestného činu a přestupku, právo na nutnou obranu, činnost v krajní nouzi, možnost omezení osobní svobody, povinnost ochrany stop a důkazů</w:t>
      </w:r>
    </w:p>
    <w:p>
      <w:pPr>
        <w:pStyle w:val="P30"/>
        <w:framePr w:w="3921" w:h="1280" w:hRule="exact" w:wrap="none" w:vAnchor="page" w:hAnchor="margin" w:x="6800" w:y="5463"/>
        <w:rPr>
          <w:rStyle w:val="C3"/>
          <w:rtl w:val="0"/>
        </w:rPr>
      </w:pPr>
    </w:p>
    <w:p>
      <w:pPr>
        <w:pStyle w:val="P31"/>
        <w:framePr w:w="3839" w:h="1153" w:hRule="exact" w:wrap="none" w:vAnchor="page" w:hAnchor="margin" w:x="6856" w:y="55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674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98"/>
        <w:rPr>
          <w:rStyle w:val="C11"/>
          <w:rtl w:val="0"/>
        </w:rPr>
      </w:pPr>
      <w:r>
        <w:rPr>
          <w:rStyle w:val="C11"/>
          <w:rtl w:val="0"/>
        </w:rPr>
        <w:t>e) Orientovat se v právních ustanoveních, která vymezují právo na držení a nošení zbraně při výkonu povolání</w:t>
      </w:r>
    </w:p>
    <w:p>
      <w:pPr>
        <w:pStyle w:val="P28"/>
        <w:framePr w:w="3921" w:h="607" w:hRule="exact" w:wrap="none" w:vAnchor="page" w:hAnchor="margin" w:x="6800" w:y="674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98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73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05"/>
        <w:rPr>
          <w:rStyle w:val="C13"/>
          <w:rtl w:val="0"/>
        </w:rPr>
      </w:pPr>
      <w:r>
        <w:rPr>
          <w:rStyle w:val="C13"/>
          <w:rtl w:val="0"/>
        </w:rPr>
        <w:t>f) Prokázat znalost ustanovení živnostenského zákona o podmínkách provozování a výkonu činnosti ostraha majetku a osob</w:t>
      </w:r>
    </w:p>
    <w:p>
      <w:pPr>
        <w:pStyle w:val="P30"/>
        <w:framePr w:w="3921" w:h="607" w:hRule="exact" w:wrap="none" w:vAnchor="page" w:hAnchor="margin" w:x="6800" w:y="73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05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12"/>
        <w:framePr w:w="6710" w:h="607" w:hRule="exact" w:wrap="none" w:vAnchor="page" w:hAnchor="margin" w:x="45" w:y="795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12"/>
        <w:rPr>
          <w:rStyle w:val="C11"/>
          <w:rtl w:val="0"/>
        </w:rPr>
      </w:pPr>
      <w:r>
        <w:rPr>
          <w:rStyle w:val="C11"/>
          <w:rtl w:val="0"/>
        </w:rPr>
        <w:t>g) Prokázat znalost zásad ochrany osobních údajů při jejich zpracování při výkonu činnosti</w:t>
      </w:r>
    </w:p>
    <w:p>
      <w:pPr>
        <w:pStyle w:val="P28"/>
        <w:framePr w:w="3921" w:h="607" w:hRule="exact" w:wrap="none" w:vAnchor="page" w:hAnchor="margin" w:x="6800" w:y="795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12"/>
        <w:rPr>
          <w:rStyle w:val="C21"/>
          <w:rtl w:val="0"/>
        </w:rPr>
      </w:pPr>
      <w:r>
        <w:rPr>
          <w:rStyle w:val="C21"/>
          <w:rtl w:val="0"/>
        </w:rPr>
        <w:t>Písemné ověření - test</w:t>
      </w:r>
    </w:p>
    <w:p>
      <w:pPr>
        <w:pStyle w:val="P16"/>
        <w:framePr w:w="6710" w:h="607" w:hRule="exact" w:wrap="none" w:vAnchor="page" w:hAnchor="margin" w:x="45" w:y="856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19"/>
        <w:rPr>
          <w:rStyle w:val="C13"/>
          <w:rtl w:val="0"/>
        </w:rPr>
      </w:pPr>
      <w:r>
        <w:rPr>
          <w:rStyle w:val="C13"/>
          <w:rtl w:val="0"/>
        </w:rPr>
        <w:t>h) Prokázat znalost obecných zásad ochrany obchodního tajemství a ochrany utajovaných informací</w:t>
      </w:r>
    </w:p>
    <w:p>
      <w:pPr>
        <w:pStyle w:val="P30"/>
        <w:framePr w:w="3921" w:h="607" w:hRule="exact" w:wrap="none" w:vAnchor="page" w:hAnchor="margin" w:x="6800" w:y="856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619"/>
        <w:rPr>
          <w:rStyle w:val="C22"/>
          <w:rtl w:val="0"/>
        </w:rPr>
      </w:pPr>
      <w:r>
        <w:rPr>
          <w:rStyle w:val="C22"/>
          <w:rtl w:val="0"/>
        </w:rPr>
        <w:t>Písemné ověření - test</w:t>
      </w:r>
    </w:p>
    <w:p>
      <w:pPr>
        <w:pStyle w:val="P32"/>
        <w:framePr w:w="10710" w:h="248" w:hRule="exact" w:wrap="none" w:vAnchor="page" w:hAnchor="margin" w:x="28" w:y="9283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9719"/>
        <w:rPr>
          <w:rStyle w:val="C18"/>
          <w:rtl w:val="0"/>
        </w:rPr>
      </w:pPr>
      <w:r>
        <w:rPr>
          <w:rStyle w:val="C18"/>
          <w:rtl w:val="0"/>
        </w:rPr>
        <w:t>Kontrola osob a vozidel na vrátnicích a branách</w:t>
      </w:r>
    </w:p>
    <w:p>
      <w:pPr>
        <w:pStyle w:val="P24"/>
        <w:framePr w:w="6713" w:h="376" w:hRule="exact" w:wrap="none" w:vAnchor="page" w:hAnchor="margin" w:x="45" w:y="101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2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1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2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5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90"/>
        <w:rPr>
          <w:rStyle w:val="C11"/>
          <w:rtl w:val="0"/>
        </w:rPr>
      </w:pPr>
      <w:r>
        <w:rPr>
          <w:rStyle w:val="C11"/>
          <w:rtl w:val="0"/>
        </w:rPr>
        <w:t>a) Zkontrolovat oprávněnost vstupu osoby, odbavit návštěvu, vysvětlit pravidla a postup</w:t>
      </w:r>
    </w:p>
    <w:p>
      <w:pPr>
        <w:pStyle w:val="P28"/>
        <w:framePr w:w="3921" w:h="607" w:hRule="exact" w:wrap="none" w:vAnchor="page" w:hAnchor="margin" w:x="6800" w:y="1053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11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7"/>
        <w:rPr>
          <w:rStyle w:val="C13"/>
          <w:rtl w:val="0"/>
        </w:rPr>
      </w:pPr>
      <w:r>
        <w:rPr>
          <w:rStyle w:val="C13"/>
          <w:rtl w:val="0"/>
        </w:rPr>
        <w:t>b) Zkontrolovat oprávněnost vjezdu/výjezdu vozidla a vývozu věcí z objektu, vysvětlit pravidla a postup</w:t>
      </w:r>
    </w:p>
    <w:p>
      <w:pPr>
        <w:pStyle w:val="P30"/>
        <w:framePr w:w="3921" w:h="607" w:hRule="exact" w:wrap="none" w:vAnchor="page" w:hAnchor="margin" w:x="6800" w:y="1114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Popsat pravidla postupu proti cizí či nežádoucí osobě zjištěné na volném prostranství (ve střeženém objektu) a taktiku činnosti</w:t>
      </w:r>
    </w:p>
    <w:p>
      <w:pPr>
        <w:pStyle w:val="P28"/>
        <w:framePr w:w="3921" w:h="607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235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411"/>
        <w:rPr>
          <w:rStyle w:val="C13"/>
          <w:rtl w:val="0"/>
        </w:rPr>
      </w:pPr>
      <w:r>
        <w:rPr>
          <w:rStyle w:val="C13"/>
          <w:rtl w:val="0"/>
        </w:rPr>
        <w:t>d) Provést kontrolu oprávněnosti odnášení/přinesení věcí, zdůvodnit oprávnění a zásady pro kontrolu</w:t>
      </w:r>
    </w:p>
    <w:p>
      <w:pPr>
        <w:pStyle w:val="P30"/>
        <w:framePr w:w="3921" w:h="607" w:hRule="exact" w:wrap="none" w:vAnchor="page" w:hAnchor="margin" w:x="6800" w:y="1235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41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Kontrolní činnost ve střežených objektech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obecné povinnosti a pravidla chování strážného na obchůzce, popsat hlavní taktické zásady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Vyjmenovat preventivně kontrolní opatření a činnosti strážného při kontrole objektu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a předvést taktiku činnosti při kontrole narušeného objektu (místnosti)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490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5339"/>
        <w:rPr>
          <w:rStyle w:val="C18"/>
          <w:rtl w:val="0"/>
        </w:rPr>
      </w:pPr>
      <w:r>
        <w:rPr>
          <w:rStyle w:val="C18"/>
          <w:rtl w:val="0"/>
        </w:rPr>
        <w:t>Dozor v objektech a na veřejných prostranstvích</w:t>
      </w:r>
    </w:p>
    <w:p>
      <w:pPr>
        <w:pStyle w:val="P24"/>
        <w:framePr w:w="6713" w:h="376" w:hRule="exact" w:wrap="none" w:vAnchor="page" w:hAnchor="margin" w:x="45" w:y="57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8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7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8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15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11"/>
        <w:rPr>
          <w:rStyle w:val="C11"/>
          <w:rtl w:val="0"/>
        </w:rPr>
      </w:pPr>
      <w:r>
        <w:rPr>
          <w:rStyle w:val="C11"/>
          <w:rtl w:val="0"/>
        </w:rPr>
        <w:t>a) Vyzvat narušitele klidu, pořádku a důstojného průběhu akce k dodržování stanovených zásad, vyjmenovat taktické zásady činnosti</w:t>
      </w:r>
    </w:p>
    <w:p>
      <w:pPr>
        <w:pStyle w:val="P28"/>
        <w:framePr w:w="3921" w:h="607" w:hRule="exact" w:wrap="none" w:vAnchor="page" w:hAnchor="margin" w:x="6800" w:y="615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76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818"/>
        <w:rPr>
          <w:rStyle w:val="C13"/>
          <w:rtl w:val="0"/>
        </w:rPr>
      </w:pPr>
      <w:r>
        <w:rPr>
          <w:rStyle w:val="C13"/>
          <w:rtl w:val="0"/>
        </w:rPr>
        <w:t>b) Provést kontrolu, zda návštěvník veřejné akce nevnáší do střeženého areálu zakázané věci, popsat oprávnění a zásady pro kontrolu</w:t>
      </w:r>
    </w:p>
    <w:p>
      <w:pPr>
        <w:pStyle w:val="P30"/>
        <w:framePr w:w="3921" w:h="607" w:hRule="exact" w:wrap="none" w:vAnchor="page" w:hAnchor="margin" w:x="6800" w:y="676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81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6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424"/>
        <w:rPr>
          <w:rStyle w:val="C11"/>
          <w:rtl w:val="0"/>
        </w:rPr>
      </w:pPr>
      <w:r>
        <w:rPr>
          <w:rStyle w:val="C11"/>
          <w:rtl w:val="0"/>
        </w:rPr>
        <w:t>c) Zaujmout pozici k ostraze doprovázené osoby na veřejném prostranství, popsat a zdůvodnit taktiku činnosti</w:t>
      </w:r>
    </w:p>
    <w:p>
      <w:pPr>
        <w:pStyle w:val="P28"/>
        <w:framePr w:w="3921" w:h="607" w:hRule="exact" w:wrap="none" w:vAnchor="page" w:hAnchor="margin" w:x="6800" w:y="736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42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031"/>
        <w:rPr>
          <w:rStyle w:val="C13"/>
          <w:rtl w:val="0"/>
        </w:rPr>
      </w:pPr>
      <w:r>
        <w:rPr>
          <w:rStyle w:val="C13"/>
          <w:rtl w:val="0"/>
        </w:rPr>
        <w:t>d) Popsat a zdůvodnit taktiku činnosti při doprovodu osoby převážející finanční hotovost</w:t>
      </w:r>
    </w:p>
    <w:p>
      <w:pPr>
        <w:pStyle w:val="P30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03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831" w:hRule="exact" w:wrap="none" w:vAnchor="page" w:hAnchor="margin" w:x="45" w:y="8582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8638"/>
        <w:rPr>
          <w:rStyle w:val="C11"/>
          <w:rtl w:val="0"/>
        </w:rPr>
      </w:pPr>
      <w:r>
        <w:rPr>
          <w:rStyle w:val="C11"/>
          <w:rtl w:val="0"/>
        </w:rPr>
        <w:t>e) Popsat povinnosti, oprávnění a zdůvodnit taktiku činnosti při nálezu zbraně, výbušniny či jiné zdraví a životy ohrožující věci v objektu nebo při ostraze veřejné akce konané podle pokynů pořadatele</w:t>
      </w:r>
    </w:p>
    <w:p>
      <w:pPr>
        <w:pStyle w:val="P28"/>
        <w:framePr w:w="3921" w:h="831" w:hRule="exact" w:wrap="none" w:vAnchor="page" w:hAnchor="margin" w:x="6800" w:y="8582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863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527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547" w:hRule="exact" w:wrap="none" w:vAnchor="page" w:hAnchor="margin" w:x="28" w:y="9962"/>
        <w:rPr>
          <w:rStyle w:val="C18"/>
          <w:rtl w:val="0"/>
        </w:rPr>
      </w:pPr>
      <w:r>
        <w:rPr>
          <w:rStyle w:val="C18"/>
          <w:rtl w:val="0"/>
        </w:rPr>
        <w:t>Provádění jednoduchých úkonů k zajištění a obnovení bezpečnosti a ke snížení ztrát na majetku a zdraví osob</w:t>
      </w:r>
    </w:p>
    <w:p>
      <w:pPr>
        <w:pStyle w:val="P24"/>
        <w:framePr w:w="6713" w:h="376" w:hRule="exact" w:wrap="none" w:vAnchor="page" w:hAnchor="margin" w:x="45" w:y="1060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68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60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68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1280" w:hRule="exact" w:wrap="none" w:vAnchor="page" w:hAnchor="margin" w:x="45" w:y="10985"/>
        <w:rPr>
          <w:rStyle w:val="C3"/>
          <w:rtl w:val="0"/>
        </w:rPr>
      </w:pPr>
    </w:p>
    <w:p>
      <w:pPr>
        <w:pStyle w:val="P13"/>
        <w:framePr w:w="6658" w:h="1153" w:hRule="exact" w:wrap="none" w:vAnchor="page" w:hAnchor="margin" w:x="71" w:y="11041"/>
        <w:rPr>
          <w:rStyle w:val="C11"/>
          <w:rtl w:val="0"/>
        </w:rPr>
      </w:pPr>
      <w:r>
        <w:rPr>
          <w:rStyle w:val="C11"/>
          <w:rtl w:val="0"/>
        </w:rPr>
        <w:t>a) Zvolit vhodnou taktiku činnosti pro zadanou situaci (např. obecné narušení objektu cizí osobou, požár, havárie elektrického proudu, havárie vody, nadměrný únik škodlivých látek, technických plynů) a zdůvodnit její výběr, přivolat příslušnou odbornou pomoc a aplikovat znalost zákonných norem do spolupráce se složkami IZS</w:t>
      </w:r>
    </w:p>
    <w:p>
      <w:pPr>
        <w:pStyle w:val="P28"/>
        <w:framePr w:w="3921" w:h="1280" w:hRule="exact" w:wrap="none" w:vAnchor="page" w:hAnchor="margin" w:x="6800" w:y="10985"/>
        <w:rPr>
          <w:rStyle w:val="C3"/>
          <w:rtl w:val="0"/>
        </w:rPr>
      </w:pPr>
    </w:p>
    <w:p>
      <w:pPr>
        <w:pStyle w:val="P29"/>
        <w:framePr w:w="3839" w:h="1153" w:hRule="exact" w:wrap="none" w:vAnchor="page" w:hAnchor="margin" w:x="6856" w:y="1104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2265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2321"/>
        <w:rPr>
          <w:rStyle w:val="C13"/>
          <w:rtl w:val="0"/>
        </w:rPr>
      </w:pPr>
      <w:r>
        <w:rPr>
          <w:rStyle w:val="C13"/>
          <w:rtl w:val="0"/>
        </w:rPr>
        <w:t>b) Popsat pravidla a zvolit vhodnou taktiku činnosti bezpečnostního zásahu, který vede k dočasnému omezení osobní svobody osoby přistižené při páchání trestného činu</w:t>
      </w:r>
    </w:p>
    <w:p>
      <w:pPr>
        <w:pStyle w:val="P30"/>
        <w:framePr w:w="3921" w:h="831" w:hRule="exact" w:wrap="none" w:vAnchor="page" w:hAnchor="margin" w:x="6800" w:y="12265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23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0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152"/>
        <w:rPr>
          <w:rStyle w:val="C11"/>
          <w:rtl w:val="0"/>
        </w:rPr>
      </w:pPr>
      <w:r>
        <w:rPr>
          <w:rStyle w:val="C11"/>
          <w:rtl w:val="0"/>
        </w:rPr>
        <w:t>c) Popsat pravidla a zvolit vhodnou taktiku činnosti bezpečnostního zásahu v místech, kde byl spáchán trestní čin</w:t>
      </w:r>
    </w:p>
    <w:p>
      <w:pPr>
        <w:pStyle w:val="P28"/>
        <w:framePr w:w="3921" w:h="607" w:hRule="exact" w:wrap="none" w:vAnchor="page" w:hAnchor="margin" w:x="6800" w:y="130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1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816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Používání věcných bezpečnostních prostředků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pravidla, vysvětlit postup použití zadaného věcného prostředku a předvést v modelové situaci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obecné zásady služební komunikace při použití spojovacích prostředků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obecná pravidla pro použití a obsluhování mechanických a elektronických zabezpečovacích systémů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Zvolit vhodné zařízení pro získání vizuální informace o určité části objektu, zdůvodnit své rozhodnutí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Zvolit vhodné zařízení pro získání informace o fyzickém narušení zastřeženého prostoru, zdůvodnit své rozhodnutí</w:t>
      </w:r>
    </w:p>
    <w:p>
      <w:pPr>
        <w:pStyle w:val="P28"/>
        <w:framePr w:w="3921" w:h="607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060"/>
        <w:rPr>
          <w:rStyle w:val="C13"/>
          <w:rtl w:val="0"/>
        </w:rPr>
      </w:pPr>
      <w:r>
        <w:rPr>
          <w:rStyle w:val="C13"/>
          <w:rtl w:val="0"/>
        </w:rPr>
        <w:t>f) Zvolit vhodné zařízení pro získání informace o zahoření v zastřeženém prostoru, zdůvodnit své rozhodnutí</w:t>
      </w:r>
    </w:p>
    <w:p>
      <w:pPr>
        <w:pStyle w:val="P30"/>
        <w:framePr w:w="3921" w:h="607" w:hRule="exact" w:wrap="none" w:vAnchor="page" w:hAnchor="margin" w:x="6800" w:y="60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0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724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3"/>
        <w:framePr w:w="10710" w:h="340" w:hRule="exact" w:wrap="none" w:vAnchor="page" w:hAnchor="margin" w:x="28" w:y="7160"/>
        <w:rPr>
          <w:rStyle w:val="C18"/>
          <w:rtl w:val="0"/>
        </w:rPr>
      </w:pPr>
      <w:r>
        <w:rPr>
          <w:rStyle w:val="C18"/>
          <w:rtl w:val="0"/>
        </w:rPr>
        <w:t>Vedení dokumentace o ostraze, kontrolách a poskytnutých službách</w:t>
      </w:r>
    </w:p>
    <w:p>
      <w:pPr>
        <w:pStyle w:val="P24"/>
        <w:framePr w:w="6713" w:h="376" w:hRule="exact" w:wrap="none" w:vAnchor="page" w:hAnchor="margin" w:x="45" w:y="75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6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6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9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31"/>
        <w:rPr>
          <w:rStyle w:val="C11"/>
          <w:rtl w:val="0"/>
        </w:rPr>
      </w:pPr>
      <w:r>
        <w:rPr>
          <w:rStyle w:val="C11"/>
          <w:rtl w:val="0"/>
        </w:rPr>
        <w:t>a) Vyjmenovat základní údaje, které musí služební záznam o události obsahovat, zaznamenat zadanou událost</w:t>
      </w:r>
    </w:p>
    <w:p>
      <w:pPr>
        <w:pStyle w:val="P28"/>
        <w:framePr w:w="3921" w:h="607" w:hRule="exact" w:wrap="none" w:vAnchor="page" w:hAnchor="margin" w:x="6800" w:y="797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3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58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38"/>
        <w:rPr>
          <w:rStyle w:val="C13"/>
          <w:rtl w:val="0"/>
        </w:rPr>
      </w:pPr>
      <w:r>
        <w:rPr>
          <w:rStyle w:val="C13"/>
          <w:rtl w:val="0"/>
        </w:rPr>
        <w:t>b) Zdůvodnit význam vedení dokumentace o ostraze a kontrolách</w:t>
      </w:r>
    </w:p>
    <w:p>
      <w:pPr>
        <w:pStyle w:val="P30"/>
        <w:framePr w:w="3921" w:h="376" w:hRule="exact" w:wrap="none" w:vAnchor="page" w:hAnchor="margin" w:x="6800" w:y="858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3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9072"/>
        <w:rPr>
          <w:rStyle w:val="C23"/>
          <w:rtl w:val="0"/>
        </w:rPr>
      </w:pPr>
      <w:r>
        <w:rPr>
          <w:rStyle w:val="C23"/>
          <w:rtl w:val="0"/>
        </w:rPr>
        <w:t>Kritéria jsou ověřována v souladu s postupem uvedeným v pokynech pro realizaci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9142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být technicky schopna zajistit zveřejnění termínu a místa konání zkoušky a dalších nezbytných informací na internetových stránkách, a to v termínu odeslání pozvánky ke zkoušce.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ověří doklady, které musí uchazeč předložit, aby zkouška proběhla v souladu s platnými právními předpisy. Zdravotní způsobilost v rozsahu odpovídající ověřované kvalifikaci není požadována.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pracovištěm, organizací zkoušky a s požadavky bezpečnosti a ochrany zdraví při práci (BOZP), požární ochrany (PO) a dalšími omezeními. Autorizovaná osoba stanoví, které pomůcky uchazeč při zkoušce nesmí, resp. smí používat.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Povinností předsedy zkušební komise je dbát na to, aby zkouška probíhala podle tohoto hodnoticího standardu.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má formu písemné zkoušky a kombinace praktické a ústní zkoušky. Zkouška se skládá v českém jazyce.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písemné, se prověřují formou testu.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Kritéria, u kterých je stanoven způsob prověření praktické předvedení anebo ústní ověření se prověřuje formou řešení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sestaví test náhodným výběrem ze souboru testových otázek a při přípravě testu zabezpečí vždy různé kombinace pořadí možných odpovědí pod písmeny a), b), c) u jednotlivých otázek. Soubor testových otázek obsahuje kompetence: Provádění ochrany a ostrahy majetku a osob, Obsluhování technických bezpečnostních systémů, Uplatňování zásad součinnosti se složkami integrovaného záchranného systému, zejména s Policií ČR a vymezenými osobami a Aplikování právních základů bezpečnostní činnosti. Každá kompetence je zastoupena v jedné nebo několika skupinách otázek. Početní zastoupení jednotlivých skupin otázek v testu je stanoveno klíčem, který je součástí souboru otázek. Celkový počet otázek v testu musí být 30. Určený člen komise poučí uchazeče o způsobu práce s testem před zahájením časového limitu.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Praktická a ústní část zkoušky je založena na řešení konkrétních typových bezpečnostních nebo preventivně bezpečnostních situací. Uchazeč musí vyřešit dvě náhodně vybrané typové situace, vždy jednu ze skupiny A a jednu ze skupiny B souboru typových situací. Skupina A ověřuje kompetence: Kontrola osob a vozidel na vrátnicích a branách; Kontrolní činnost ve střežených objektech; Dozor v objektech a na veřejných prostranstvích. Skupina B ověřuje kompetence: Provádění jednoduchých úkonů k zajištění a obnovení bezpečnosti a ke snížení ztrát na majetku a zdraví osob. Kompetence Používání věcných bezpečnostních prostředků, Vedení dokumentace o ostraze, kontrolách a poskytnutých službách a Aplikování právních základů bezpečnostní činnosti jsou ověřovány při řešení všech typových situací. 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Aktuální soubor testových otázek a aktuální soubor typových situací je spravován a v elektronické podobě uchováván autorizujícím orgánem (Ministerstvem vnitra). Autorizovaným osobám budou tyto soubory předány prostřednictvím elektronické komunikace po udělení autorizace a dále při každé aktualizaci souborů otázek a typových situací.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Zadání testu včetně odpovědí uchazeče je součástí záznamu o průběhu a výsledku zkoušky a autorizovaná osoba jej musí archivovat v souladu s § 8 vyhlášky č. 208/2007 Sb., o podrobnostech stanovených k provedení zákona o uznávání výsledků dalšího vzdělávání.</w:t>
      </w:r>
    </w:p>
    <w:p>
      <w:pPr>
        <w:keepNext w:val="0"/>
        <w:keepLines w:val="0"/>
        <w:framePr w:w="10766" w:h="8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3008" w:hRule="exact" w:wrap="none" w:vAnchor="page" w:hAnchor="margin" w:x="0" w:y="115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Hodnocení se stanoví zvlášť pro písemnou část zkoušky (test) a zvlášť pro praktickou a ústní část zkoušky, přičemž obě části zkoušky musí být úspěšně splněny. Výsledky se zaznamenávají do záznamu o průběhu a výsledku zkoušky. 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úspěšnému vykonání písemné části zkoušky je nutné odpovědět nejméně 80 %, to je 24 otázek testu správně. Úspěšné vykonání písemné zkoušky je podmínkou pro konání praktické a ústní části zkoušky.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praktické a ústní části zkoušky musí být úspěšně vyřešeny obě typové situace. V každé typové situaci musí být splněny všechny úkoly (otázky) požadované k jejímu řešení. Při řešení typové situace se připouští dvě odchýlení. Za odchýlení se považuje použití nesprávného výrazu nebo záměna pořadí činností, které nemají vliv na celkově správné řešení situace (odpovědi).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musí znít „vyhověl/a“ nebo „nevyhověl/a“.</w:t>
      </w:r>
    </w:p>
    <w:p>
      <w:pPr>
        <w:keepNext w:val="0"/>
        <w:keepLines w:val="0"/>
        <w:framePr w:w="10766" w:h="2668" w:hRule="exact" w:wrap="none" w:vAnchor="page" w:hAnchor="margin" w:x="0" w:y="11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2072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tří členů, kteří jsou autorizovanými fyzickými osobami s autorizací pro příslušnou profesní kvalifikaci nebo autorizovanými zástupci autorizované právnické osoby s autorizací pro příslušnou profesní kvalifikaci.</w:t>
      </w:r>
    </w:p>
    <w:p>
      <w:pPr>
        <w:keepNext w:val="0"/>
        <w:keepLines w:val="0"/>
        <w:framePr w:w="10766" w:h="1732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Členem zkušební komise nemůže být osoba, která je zaměstnavatelem žadatele o zkoušku nebo statutárním orgánem nebo členem statutárního orgánu nebo zaměstnancem stejného subjektu jako je žadatel o zkoušku ani podnikatel, u kterého žadatel vykonává činnost ostrahy majetku a osob v jiném právním vztahu.</w:t>
      </w:r>
    </w:p>
    <w:p>
      <w:pPr>
        <w:pStyle w:val="P33"/>
        <w:framePr w:w="10766" w:h="8121" w:hRule="exact" w:wrap="none" w:vAnchor="page" w:hAnchor="margin" w:x="0" w:y="44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44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minimální kvalifikační požadavky: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a 5 let praxe v oboru ostraha majetku a osob nebo oboru příbuzném (viz § 7 (4) zákona č. 455/1991 Sb.), z toho minimálně dva roky v posledních pěti letech před podáním žádosti o autorizaci praxi v ostraze majetku a osob (viz. nařízení vlády č. 278/2008 Sb., o obsahových náplních jednotlivých živností v aktuálním znění), nebo minimálně 5 let pedagogické praxe v oboru bezpečnostně právní činnost nebo bezpečnostní služby, z toho minimálně jeden rok v posledních třech letech před podáním žádosti o autorizaci (doložit vysokoškolským diplomem a dokumenty prokazujícími praxi).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Musí mít uživatelskou dovednost práce s počítačem a internetem (doložit čestným prohlášením).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Žádost o autorizaci naleznete na stránkách autorizujícího orgánu: Ministerstvo vnitra, www.mvcr.cz.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•Autorizovaná osoba musí být schopna organizačně zajistit řádný průběh zkoušky a zajistit nezbytné materiální a technické předpoklady pro provedení zkoušky dle tohoto standardu (doložit čestným prohlášením, viz dále). </w:t>
      </w:r>
    </w:p>
    <w:p>
      <w:pPr>
        <w:keepNext w:val="0"/>
        <w:keepLines w:val="1"/>
        <w:framePr w:w="10766" w:h="7574" w:hRule="exact" w:wrap="none" w:vAnchor="page" w:hAnchor="margin" w:x="0" w:y="5001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•Žadatel o autorizaci, který nemá odbornou kvalifikaci pedagogického pracovníka podle zákona č. 563/2004 Sb., o pedagogických pracovnících a o změně některých zákonů, ve znění pozdějších předpisů nebo praxi v oblasti vzdělávání dospělých (včetně praxe z oblasti zkoušení), nebo nemá osvědčení o profesní kvalifikaci 75-001-T Lektor/lektorka dalšího vzdělávání, musí být absolventem přípravy zaměřené zejména na praktickou aplikaci části první, hlavy III a IV zákona č. 179/2006 Sb., o ověřování a uznávání výsledků dalšího vzdělávání a o změně některých zákonů (zákon o uznávání výsledků dalšího vzdělávání) a přípravy zaměřené na vzdělávání a hodnocení dospělých s důrazem na psychologické aspekty zkoušení dospělých v rozsahu minimálně 12 hodin (doložit osvědčením).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autorizujícímu orgánu nebo jiným postupem stanoveným autorizujícím orgánem.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si může vyžádat stanovisko k odborné způsobilosti žadatele o autorizaci vydané věcně příslušným profesním společenstvem ve smyslu § 50 zákona č. 500/2004 Sb., správní řád.</w:t>
      </w:r>
    </w:p>
    <w:p>
      <w:pPr>
        <w:keepNext w:val="0"/>
        <w:keepLines w:val="0"/>
        <w:framePr w:w="10766" w:h="7574" w:hRule="exact" w:wrap="none" w:vAnchor="page" w:hAnchor="margin" w:x="0" w:y="500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Autorizující orgán může přizvat pracovníky profesních společenstev ke kontrole výkonu odborné způsobilosti autorizované osoby v průběhu platnosti autorizace a také správnosti postupu při provádění zkoušek a vydávání osvědčení (viz § 22 písm. e zákona č. 179/2006 Sb. a § 2 a 9 zákona č. 552/1991 Sb.) a přihlédne k jejich odbornému názoru.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9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 žádosti o udělení autorizace žadatel přiloží čestné prohlášení dokládající soulad jeho materiálních a technických předpokladů pro účely zkoušky s požadavky uvedenými dále. Pokud žadatel o autorizaci bude při zkouškách využívat materiálně-technické vybavení jiného subjektu, přiloží k žádosti o udělení autorizace nebo prodloužení platnosti autorizace příslušnou smlouvu umožňující jeho využívání. 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zajistí materiálně-technické zázemí v dále uvedeném rozsahu: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•vhodné prostory k vykonání zkoušky, zejména místnost pro provedení písemné části zkoušky a dále místnost či místo umožňující přípravu a řádné řešení zadaných typových situací,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•běžné prostředky zvyšující účinnost obrany strážného, obvyklé prostředky pro spojení, svítilna, lékárnička a formalizované a jiné záznamní a evidenční pomůcky. Soubor prostředků a pomůcek musí umožnit praktické předvedení u kritérií, kde je to způsobem ověření stanoveno. Prostředky mohou být nahrazeny výcvikovými maketami. 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•formalizovanou dokumentaci k vedení záznamů o průběhu zkoušky a záznamu hodnocení, případně PC k jejímu vedení a umožňujícímu absolvování písemného testu,</w:t>
      </w:r>
    </w:p>
    <w:p>
      <w:pPr>
        <w:keepNext w:val="0"/>
        <w:keepLines w:val="1"/>
        <w:framePr w:w="10766" w:h="4583" w:hRule="exact" w:wrap="none" w:vAnchor="page" w:hAnchor="margin" w:x="0" w:y="2494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•texty právních předpisů, záznamní a ostatní pomůcky nezbytné pro práci komise a činnost uchazeče.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žadatel o vykonání zkoušky navrhne při zkouškách využívat materiálně-technické zázemí jiné organizace, např. cvičný nebo reálný objekt, přiloží k žádosti o zkoušku kopii dokumentu schvalujícího jeho využití, pokud ho sám nevlastní. Současně písemně oznámí zásady bezpečnosti a další nutná omezení při konání zkoušky na tomto zázemí.</w:t>
      </w:r>
    </w:p>
    <w:p>
      <w:pPr>
        <w:keepNext w:val="0"/>
        <w:keepLines w:val="0"/>
        <w:framePr w:w="10766" w:h="458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730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30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764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přípravy na praktickou a ústní část zkoušky (včetně případných časů, kdy se uchazeč připravuje během zkoušky) je maximálně 10 minut. Do doby přípravy na zkoušku se nezapočítává doba na seznámení uchazeče s pracovištěm a s požadavky BOZP a PO. </w:t>
      </w:r>
    </w:p>
    <w:p>
      <w:pPr>
        <w:pStyle w:val="P33"/>
        <w:framePr w:w="10766" w:h="1146" w:hRule="exact" w:wrap="none" w:vAnchor="page" w:hAnchor="margin" w:x="0" w:y="890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90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924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Písemná část zkoušky trvá maximálně 45 minut. Praktická a ústní část zkoušky trvá maximálně 30 minut. Obě části zkoušky absolvuje uchazeč v jednom dni.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podniků komerční bezpečnosti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majetku a osob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klub bezpečnostních služeb,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Grémium alarm, o. s.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tiskárna cenin, státní podnik</w:t>
      </w:r>
    </w:p>
    <w:p>
      <w:pPr>
        <w:keepNext w:val="0"/>
        <w:keepLines w:val="0"/>
        <w:framePr w:w="10766" w:h="258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Strážný/strážná, 17.9.2026 2:14:45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87456D4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3B373A14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0283DB7"/>
    <w:multiLevelType w:val="hybridMultilevel"/>
    <w:lvl w:ilvl="0" w:tplc="00000112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3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4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5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6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17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18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9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A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