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17D113" Type="http://schemas.openxmlformats.org/officeDocument/2006/relationships/officeDocument" Target="/word/document.xml" /><Relationship Id="coreR4317D113" Type="http://schemas.openxmlformats.org/package/2006/relationships/metadata/core-properties" Target="/docProps/core.xml" /><Relationship Id="customR4317D1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Detašér čistírny a prádelny (kód: 31-027-H)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základních textilních materiálů a jejich vlastností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základního přístrojového a nástrojového vybavení detašovacího pracoviště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Detašování textilií různými způsoby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postupů předkartáčování, předdetaše a detaše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Retušování textilních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Detašování choulostivých materiálů a inteligentních textilií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07.11.2012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1.11.2026 17:54:31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http://katalog.nsp.cz/karta_p.aspx?id_jp=30919&amp;kod_sm1=29).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 Konkrétní skladbu zakázky určí zkoušející.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ústního vysvětlení stručně vysvětlil definici pojmu, jeho uplatnění v praxi, podmínky a příklady použitého technologického procesu.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hodnocení odborné způsobilosti Dodržování zásad bezpečnosti a ochrany zdraví při práci v provozech prádelen a čistíren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1.11.2026 17:54:31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1.11.2026 17:54:31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