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66A2E" Type="http://schemas.openxmlformats.org/officeDocument/2006/relationships/officeDocument" Target="/word/document.xml" /><Relationship Id="coreR55266A2E" Type="http://schemas.openxmlformats.org/package/2006/relationships/metadata/core-properties" Target="/docProps/core.xml" /><Relationship Id="customR55266A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Detašér čistírny a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základních textilních materiálů a jejich vlastností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27.10.2026 4:38:29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http://katalog.nsp.cz/zdravotniPodminky.aspx?id_jp=100886).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oděvů, dle kritéria hodnocení d) minimálně 3 výrobky podle velikostního sortimentu prádla a oděvů, a dle kritéria hodnocení e) minimálně 1 výrobek z inteligentních textilií a 1 výrobek sendvičové konstrukce.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Identifikace základních textilních materiálů a jejich vlastností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provést zkoušky pro jeden zvolený materiál dle kritérií hodnocení a) a b). 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základního přístrojového a nástrojového vybavení detašovacího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neověřuje samostatně, ale jednotlivá kritéria hodnocení se ověřují v rámci plnění úkolů vyplývajících z ověřování dalších odborných kompetencí obsažených v tomto hodnoticím standardu.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postupů předkartáčování, předdetaše a detaše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kritérium q) a 7 kritérií hodnocení ze všech uvedených v položkách a) až p); uchazeč si kritéria hodnocení, resp. úkoly plynoucí z těchto kritérií hodnocení, losuje.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Detašování choulostivých materiálů a inteligentních textilií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zvolí zkoušející u kritéria hodnocení b) jeden druh materiálu na základě aktuálního sortimentu čištěných výrobků.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vyprání nebo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27.10.2026 4:38:29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27.10.2026 4:38:29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