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5F2AB0" Type="http://schemas.openxmlformats.org/officeDocument/2006/relationships/officeDocument" Target="/word/document.xml" /><Relationship Id="coreR615F2AB0" Type="http://schemas.openxmlformats.org/package/2006/relationships/metadata/core-properties" Target="/docProps/core.xml" /><Relationship Id="customR615F2A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 a ústní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2"/>
        <w:rPr>
          <w:rStyle w:val="C18"/>
          <w:rtl w:val="0"/>
        </w:rPr>
      </w:pPr>
      <w:r>
        <w:rPr>
          <w:rStyle w:val="C18"/>
          <w:rtl w:val="0"/>
        </w:rPr>
        <w:t>Pomoc při podkování a korekturách kopyt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8"/>
        <w:rPr>
          <w:rStyle w:val="C3"/>
          <w:rtl w:val="0"/>
        </w:rPr>
      </w:pPr>
    </w:p>
    <w:p>
      <w:pPr>
        <w:pStyle w:val="P13"/>
        <w:framePr w:w="6658" w:h="249" w:hRule="exact" w:wrap="none" w:vAnchor="page" w:hAnchor="margin" w:x="71" w:y="13764"/>
        <w:rPr>
          <w:rStyle w:val="C11"/>
          <w:rtl w:val="0"/>
        </w:rPr>
      </w:pPr>
      <w:r>
        <w:rPr>
          <w:rStyle w:val="C11"/>
          <w:rtl w:val="0"/>
        </w:rPr>
        <w:t>a) Popsat a předvést různé způsoby fixace koní</w:t>
      </w:r>
    </w:p>
    <w:p>
      <w:pPr>
        <w:pStyle w:val="P28"/>
        <w:framePr w:w="3921" w:h="376" w:hRule="exact" w:wrap="none" w:vAnchor="page" w:hAnchor="margin" w:x="6800" w:y="13708"/>
        <w:rPr>
          <w:rStyle w:val="C3"/>
          <w:rtl w:val="0"/>
        </w:rPr>
      </w:pPr>
    </w:p>
    <w:p>
      <w:pPr>
        <w:pStyle w:val="P29"/>
        <w:framePr w:w="3839" w:h="249" w:hRule="exact" w:wrap="none" w:vAnchor="page" w:hAnchor="margin" w:x="6856" w:y="13764"/>
        <w:rPr>
          <w:rStyle w:val="C21"/>
          <w:rtl w:val="0"/>
        </w:rPr>
      </w:pPr>
      <w:r>
        <w:rPr>
          <w:rStyle w:val="C21"/>
          <w:rtl w:val="0"/>
        </w:rPr>
        <w:t>Praktické předvedení a ústní ověření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Popsat kopyto jako anatomický útvar</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Písemné a ústní ověření</w:t>
      </w:r>
    </w:p>
    <w:p>
      <w:pPr>
        <w:pStyle w:val="P12"/>
        <w:framePr w:w="6710" w:h="607" w:hRule="exact" w:wrap="none" w:vAnchor="page" w:hAnchor="margin" w:x="45" w:y="14460"/>
        <w:rPr>
          <w:rStyle w:val="C3"/>
          <w:rtl w:val="0"/>
        </w:rPr>
      </w:pPr>
    </w:p>
    <w:p>
      <w:pPr>
        <w:pStyle w:val="P13"/>
        <w:framePr w:w="6658" w:h="480" w:hRule="exact" w:wrap="none" w:vAnchor="page" w:hAnchor="margin" w:x="71" w:y="14516"/>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4460"/>
        <w:rPr>
          <w:rStyle w:val="C3"/>
          <w:rtl w:val="0"/>
        </w:rPr>
      </w:pPr>
    </w:p>
    <w:p>
      <w:pPr>
        <w:pStyle w:val="P29"/>
        <w:framePr w:w="3839" w:h="480" w:hRule="exact" w:wrap="none" w:vAnchor="page" w:hAnchor="margin" w:x="6856" w:y="14516"/>
        <w:rPr>
          <w:rStyle w:val="C21"/>
          <w:rtl w:val="0"/>
        </w:rPr>
      </w:pPr>
      <w:r>
        <w:rPr>
          <w:rStyle w:val="C21"/>
          <w:rtl w:val="0"/>
        </w:rPr>
        <w:t>Praktické předvedení a ústní ověření</w:t>
      </w:r>
    </w:p>
    <w:p>
      <w:pPr>
        <w:pStyle w:val="P16"/>
        <w:framePr w:w="6710" w:h="376" w:hRule="exact" w:wrap="none" w:vAnchor="page" w:hAnchor="margin" w:x="45" w:y="15067"/>
        <w:rPr>
          <w:rStyle w:val="C3"/>
          <w:rtl w:val="0"/>
        </w:rPr>
      </w:pPr>
    </w:p>
    <w:p>
      <w:pPr>
        <w:pStyle w:val="P17"/>
        <w:framePr w:w="6658" w:h="249" w:hRule="exact" w:wrap="none" w:vAnchor="page" w:hAnchor="margin" w:x="71" w:y="15123"/>
        <w:rPr>
          <w:rStyle w:val="C13"/>
          <w:rtl w:val="0"/>
        </w:rPr>
      </w:pPr>
      <w:r>
        <w:rPr>
          <w:rStyle w:val="C13"/>
          <w:rtl w:val="0"/>
        </w:rPr>
        <w:t>d) Vysvětlit význam podkování</w:t>
      </w:r>
    </w:p>
    <w:p>
      <w:pPr>
        <w:pStyle w:val="P30"/>
        <w:framePr w:w="3921" w:h="376" w:hRule="exact" w:wrap="none" w:vAnchor="page" w:hAnchor="margin" w:x="6800" w:y="15067"/>
        <w:rPr>
          <w:rStyle w:val="C3"/>
          <w:rtl w:val="0"/>
        </w:rPr>
      </w:pPr>
    </w:p>
    <w:p>
      <w:pPr>
        <w:pStyle w:val="P31"/>
        <w:framePr w:w="3839" w:h="249" w:hRule="exact" w:wrap="none" w:vAnchor="page" w:hAnchor="margin" w:x="6856" w:y="15123"/>
        <w:rPr>
          <w:rStyle w:val="C22"/>
          <w:rtl w:val="0"/>
        </w:rPr>
      </w:pPr>
      <w:r>
        <w:rPr>
          <w:rStyle w:val="C22"/>
          <w:rtl w:val="0"/>
        </w:rPr>
        <w:t>Písemné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Zadání testu včetně odpovědi uchazeče je součástí záznamů o průběhu a výsledku zkoušky a bude uchováváno v souladu s § 8 vyhlášky č. 208/2007 Sb., o podrobnostech stanovených k provedení zákona o uznávání výsledků dalšího vzdělávání, ve znění pozdějších předpisů.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A.Testy pro jednotlivé uchazeče musí být generovány z dostatečně velkého souboru otázek, aby bylo možné vytvářet dostatečné počty různě sestavených testů.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s mladým koněm zkoušku skoku ve volnosti</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Nauzdit koně a předvést lonžování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Postavit drezurní obdélník, kavaletovou a postupovou řadu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Nauzdit a nasedlat koně, předvést základní drezurní úlohu, kavaletovou a skokovou postupovou řadu předepsanou zkušebními řády jednotlivých plemenných knih</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koně po práci a péči o kopyta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Jezdec pro přípravu a testaci mladých koní a střední vzdělání s maturitní zkouškou a alespoň 5 let praxe ve funkci s odpovědností za chov koní,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jezdecká výstroj (zajistí zkoušený)</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na koně</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366"/>
        <w:rPr>
          <w:rStyle w:val="C3"/>
          <w:rtl w:val="0"/>
        </w:rPr>
      </w:pPr>
    </w:p>
    <w:p>
      <w:pPr>
        <w:pStyle w:val="P35"/>
        <w:framePr w:w="10710" w:h="340" w:hRule="exact" w:wrap="none" w:vAnchor="page" w:hAnchor="margin" w:x="28" w:y="8366"/>
        <w:rPr>
          <w:rStyle w:val="C25"/>
          <w:rtl w:val="0"/>
        </w:rPr>
      </w:pPr>
      <w:r>
        <w:rPr>
          <w:rStyle w:val="C25"/>
          <w:rtl w:val="0"/>
        </w:rPr>
        <w:t>Doba přípravy na zkoušku</w:t>
      </w:r>
    </w:p>
    <w:p>
      <w:pPr>
        <w:keepNext w:val="0"/>
        <w:keepLines w:val="0"/>
        <w:framePr w:w="10766" w:h="1271" w:hRule="exact" w:wrap="none" w:vAnchor="page" w:hAnchor="margin" w:x="0" w:y="8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8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204"/>
        <w:rPr>
          <w:rStyle w:val="C3"/>
          <w:rtl w:val="0"/>
        </w:rPr>
      </w:pPr>
    </w:p>
    <w:p>
      <w:pPr>
        <w:pStyle w:val="P35"/>
        <w:framePr w:w="10710" w:h="340" w:hRule="exact" w:wrap="none" w:vAnchor="page" w:hAnchor="margin" w:x="28" w:y="10204"/>
        <w:rPr>
          <w:rStyle w:val="C25"/>
          <w:rtl w:val="0"/>
        </w:rPr>
      </w:pPr>
      <w:r>
        <w:rPr>
          <w:rStyle w:val="C25"/>
          <w:rtl w:val="0"/>
        </w:rPr>
        <w:t>Doba pro vykonání zkoušky</w:t>
      </w:r>
    </w:p>
    <w:p>
      <w:pPr>
        <w:keepNext w:val="0"/>
        <w:keepLines w:val="0"/>
        <w:framePr w:w="10766" w:h="1041" w:hRule="exact" w:wrap="none" w:vAnchor="page" w:hAnchor="margin" w:x="0" w:y="10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pro přípravu a testaci mladých koní, 27.10.2026 2:48:12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183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7C6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6A6A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