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4D1AD" Type="http://schemas.openxmlformats.org/officeDocument/2006/relationships/officeDocument" Target="/word/document.xml" /><Relationship Id="coreR3384D1AD" Type="http://schemas.openxmlformats.org/package/2006/relationships/metadata/core-properties" Target="/docProps/core.xml" /><Relationship Id="customR3384D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10.02.2009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přidělen 1 dostihový kůň, na kterém prokáže zvládnutí jednotlivých způsobilostí. 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welfare. Některé způsobilosti budou ověřovány písemně, testem a na příslušných modelech.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zaměřují na proces i výsledek.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 a chovatele dostihových koní.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postup při hlášení koně do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postup při přípravě jezdce do dostihu, povinnosti jezdce před dostihem, v průběhu a po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vedením trenéra připravit a předvést výcvik koně v tréninkovém procesu (mílaře, letouna nebo vytrvalce, klusáka atd.)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Charakterizovat rozdíly práce s ročkem, dvouletým, tříletým a starším koněm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