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E0F16" Type="http://schemas.openxmlformats.org/officeDocument/2006/relationships/officeDocument" Target="/word/document.xml" /><Relationship Id="coreR2CAE0F16" Type="http://schemas.openxmlformats.org/package/2006/relationships/metadata/core-properties" Target="/docProps/core.xml" /><Relationship Id="customR2CAE0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Příprava sportovních koní pod sedlem nebo v tahu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Předvést nácvik uzdění koně, popsat druhy udidel a jejich použití</w:t>
      </w:r>
    </w:p>
    <w:p>
      <w:pPr>
        <w:pStyle w:val="P28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koně na zátěž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7"/>
        <w:rPr>
          <w:rStyle w:val="C13"/>
          <w:rtl w:val="0"/>
        </w:rPr>
      </w:pPr>
      <w:r>
        <w:rPr>
          <w:rStyle w:val="C13"/>
          <w:rtl w:val="0"/>
        </w:rPr>
        <w:t>h) Popsat postup výcviku a tréninku koně, sestavit výcvikový plán s ohledem na tělesnou stavbu a psychiku koně</w:t>
      </w:r>
    </w:p>
    <w:p>
      <w:pPr>
        <w:pStyle w:val="P30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64"/>
        <w:rPr>
          <w:rStyle w:val="C21"/>
          <w:rtl w:val="0"/>
        </w:rPr>
      </w:pPr>
      <w:r>
        <w:rPr>
          <w:rStyle w:val="C21"/>
          <w:rtl w:val="0"/>
        </w:rPr>
        <w:t>Náčrt a praktické předvedení, slovní vyjádření ústní</w:t>
      </w:r>
    </w:p>
    <w:p>
      <w:pPr>
        <w:pStyle w:val="P16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7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1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1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61"/>
        <w:rPr>
          <w:rStyle w:val="C11"/>
          <w:rtl w:val="0"/>
        </w:rPr>
      </w:pPr>
      <w:r>
        <w:rPr>
          <w:rStyle w:val="C11"/>
          <w:rtl w:val="0"/>
        </w:rPr>
        <w:t>m) Ošetřit zadaného koně před a po práci</w:t>
      </w:r>
    </w:p>
    <w:p>
      <w:pPr>
        <w:pStyle w:val="P28"/>
        <w:framePr w:w="3921" w:h="376" w:hRule="exact" w:wrap="none" w:vAnchor="page" w:hAnchor="margin" w:x="6800" w:y="1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91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střední vzdělání s maturitní zkouškou v chovatelském nebo jiném zemědělském nebo veterinárním oboru vzdělání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vyšší odborné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68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84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