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26B391" Type="http://schemas.openxmlformats.org/officeDocument/2006/relationships/officeDocument" Target="/word/document.xml" /><Relationship Id="coreR1A26B391" Type="http://schemas.openxmlformats.org/package/2006/relationships/metadata/core-properties" Target="/docProps/core.xml" /><Relationship Id="customR1A26B3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 podkováře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Pomocník podkováře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podkováře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zacházení s koněm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ošetření kopyta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Přípravné a dokončovací práce pro podkováře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opracování podkovy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27.10.2026 2:46:50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"https://nsp.cz/jednotka-prace/pomocnik-podkovare"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https://nsp.cz/jednotka-prace/pomocnik-podkovare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Každý uchazeč si sám zajistí pracovní oděv a obuv.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bude probíhat v navazujících činnostech vedoucích k ucelenému obrazu pomocníka podkováře.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pohody zvířat (welfare). Při ověřování kompetencí formou praktického předvedení je třeba přihlížet především k bezpečnému provádění všech úkonů, dodržování hygieny práce, jakož i ke kvalitě a časovému hledisku zvládání předváděných operací. Důraz je třeba klást na šetrnou manipulaci s koňmi,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27.10.2026 2:46:50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 z. s., PODKOVÁŘSKÁ ŠKOLA s. r. o. - Ing. Jindřich Vinčálek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Kovářské společenstvo - Karel Kysilka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veterinárních lékařů České republiky - doc. MVDr. Jana Mezerová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teplokrevného koně z. s., Šlechtitelský chov koní - Michaela Kubištová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27.10.2026 2:46:50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