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1D55F1" Type="http://schemas.openxmlformats.org/officeDocument/2006/relationships/officeDocument" Target="/word/document.xml" /><Relationship Id="coreR251D55F1" Type="http://schemas.openxmlformats.org/package/2006/relationships/metadata/core-properties" Target="/docProps/core.xml" /><Relationship Id="customR251D55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 podkováře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Podkovář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pracoviště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Zacházení se zvířaty, čištění zvířat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Přípravné a dokončovací práce pro podkováře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ošetření kopyta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opracování podkovy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07.02.2009 do: 10.02.2016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a požární ochrany (BOZP a PO).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 by mělo pokud možno probíhat v navazujících činnostech vedoucích k ucelenému podkovářskému úkonu.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 se zadávat např. tyto činnosti: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Diagnostikovat zvíře z hlediska korektury rohoviny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Zvolit vhodný postup korektury, nářadí a pomůcky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Asistence při podkování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Důraz je třeba klást na šetrnou manipulaci s koňmi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zpracován ve spolupráci se Sektorovou radou zemědělství a zástupci následujících institucí: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svazů chovatelů koní ČR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teplokrevníka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Živnostenské sdružení podkovářů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uměleckých kovářů a zámečníků a kovářů – podkovářů Čech, Moravy a Slezska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řemeslná Jaroměř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