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CC5C52" Type="http://schemas.openxmlformats.org/officeDocument/2006/relationships/officeDocument" Target="/word/document.xml" /><Relationship Id="coreR1DCC5C52" Type="http://schemas.openxmlformats.org/package/2006/relationships/metadata/core-properties" Target="/docProps/core.xml" /><Relationship Id="customR1DCC5C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Pomocník podkováře (kód: 41-039-E)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Podkovář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pracoviště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Zacházení se zvířaty, čištění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Přípravné a dokončovací práce pro podkováře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ošetření kopyta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opracování podkovy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07.02.2009 do: 10.02.2016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 podkováře, 27.10.2026 2:46:30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 (BOZP a PO).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by mělo pokud možno probíhat v navazujících činnostech vedoucích k ucelenému podkovářskému úkonu.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 zadávat např. tyto činnosti: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Diagnostikovat zvíře z hlediska korektury rohoviny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Zvolit vhodný postup korektury, nářadí a pomůcky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Asistence při podkování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a časovému hledisku zvládání předváděných operací. Důraz je třeba klást na šetrnou manipulaci s koňmi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 podkováře, 27.10.2026 2:46:30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se Sektorovou radou zemědělství a zástupci následujících institucí: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svazů chovatelů koní ČR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sdružení podkovářů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uměleckých kovářů a zámečníků a kovářů – podkovářů Čech, Moravy a Slezska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řemeslná Jaroměř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 podkováře, 27.10.2026 2:46:30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