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F9592D" Type="http://schemas.openxmlformats.org/officeDocument/2006/relationships/officeDocument" Target="/word/document.xml" /><Relationship Id="coreRCF9592D" Type="http://schemas.openxmlformats.org/package/2006/relationships/metadata/core-properties" Target="/docProps/core.xml" /><Relationship Id="customRCF959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a zpracování modelovací a marcipánové hmoty (kód: 29-008-H)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a zpracování modelovací a marcipánové hmoty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modelovací a marcipánové hmoty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modelovací a marcipánové hmoty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modelovací a marcipánové hmoty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tvarování a modelování, tvarování pomocí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Dohotovování a zdobení výrobků a ozdob, barvení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výrobků z modelovací a marcipánové hmoty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Navrhování, výtvarná úprava a aranžování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modelovací a marcipánové hmoty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3.11.2026 18:45:58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výrobků z modelovací a marcipánové hmoty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výrobků, množství (počet) výrobků určí zkoušející.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3.11.2026 18:45:58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3.11.2026 18:45:58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