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617811" Type="http://schemas.openxmlformats.org/officeDocument/2006/relationships/officeDocument" Target="/word/document.xml" /><Relationship Id="coreR30617811" Type="http://schemas.openxmlformats.org/package/2006/relationships/metadata/core-properties" Target="/docProps/core.xml" /><Relationship Id="customR306178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Lakýrník a natěrač / lakýrnice a natěračka (kód: 39-002-H)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Lakýrník a natěrač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Lakýrník a natěrač / lakýrnice a natěračka, 1.11.2026 1:41:19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Malíř a lakýrník (kód: 39-41-H/01)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Lakýrník a natěrač / lakýrnice a natěračka (kód: 39-002-H)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Malíř/malířka (kód: 39-001-H)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Tapetář/tapetářka (kód: 39-003-H)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6.2.2009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Malíř a lakýrník (kód: 39-99-H/02)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6.2.2009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Lakýrník a natěrač / lakýrnice a natěračka (kód: 39-002-H)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Malíř/malířka (kód: 39-001-H)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Tapetář/tapetářka (kód: 39-003-H)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Lakýrník a natěrač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Lakýrník a natěrač / lakýrnice a natěračka, 1.11.2026 1:41:19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