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91719BF" Type="http://schemas.openxmlformats.org/officeDocument/2006/relationships/officeDocument" Target="/word/document.xml" /><Relationship Id="coreR191719BF" Type="http://schemas.openxmlformats.org/package/2006/relationships/metadata/core-properties" Target="/docProps/core.xml" /><Relationship Id="customR191719B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Lakýrník a natěrač / lakýrnice a natěračka (kód: 39-002-H)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Speciální a interdisciplinární obory (kód: 39)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Lakýrník a natěrač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provádění a oprav lakýrnických a natěračských prací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technologických postupech provádění a oprav nátěrů na kov, dřevo a jiné podklady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Návrh pracovních postupů provádění a oprav nátěrů na kov, dřevo a jiné podklady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nátěrových hmotách a pomocných prostředcích pro lakýrnické a natěračské práce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Posuzování kvality materiálů pro lakýrnické a natěračské práce dostupnými prostředky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Příprava a údržba nářadí a pracovních pomůcek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Obsluha, seřízení a údržba zařízení na nanášení nátěrových hmot stříkáním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Příprava podkladu před nanášením nátěrových hmot na kov, dřevo a jiné podklady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Tmelení a broušení tmelených ploch při lakýrnických a natěračských pracích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Příprava nátěrových hmot pro lakýrnické a natěračské práce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Nanášení nátěrů štětcem, válečkem a stříkacím zařízením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Úpravy a dokončování lakovaných povrchů broušením a leštěním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Zhotovování linkrust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Zhotovování jednoduchých nápisů, emblémů a dekorativních vzorů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Napodobování (fládrování) druhů dřev včetně patinování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26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319"/>
        <w:rPr>
          <w:rStyle w:val="C13"/>
          <w:rtl w:val="0"/>
        </w:rPr>
      </w:pPr>
      <w:r>
        <w:rPr>
          <w:rStyle w:val="C13"/>
          <w:rtl w:val="0"/>
        </w:rPr>
        <w:t>Návrh barevného řešení lakovaných a natíraných předmětů</w:t>
      </w:r>
    </w:p>
    <w:p>
      <w:pPr>
        <w:pStyle w:val="P18"/>
        <w:framePr w:w="805" w:h="376" w:hRule="exact" w:wrap="none" w:vAnchor="page" w:hAnchor="margin" w:x="9916" w:y="1126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31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63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695"/>
        <w:rPr>
          <w:rStyle w:val="C11"/>
          <w:rtl w:val="0"/>
        </w:rPr>
      </w:pPr>
      <w:r>
        <w:rPr>
          <w:rStyle w:val="C11"/>
          <w:rtl w:val="0"/>
        </w:rPr>
        <w:t>Výpočet množství laků a nátěrů, spotřeby materiálů a zpracování položkového rozpočtu</w:t>
      </w:r>
    </w:p>
    <w:p>
      <w:pPr>
        <w:pStyle w:val="P14"/>
        <w:framePr w:w="805" w:h="376" w:hRule="exact" w:wrap="none" w:vAnchor="page" w:hAnchor="margin" w:x="9916" w:y="1163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69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201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2072"/>
        <w:rPr>
          <w:rStyle w:val="C13"/>
          <w:rtl w:val="0"/>
        </w:rPr>
      </w:pPr>
      <w:r>
        <w:rPr>
          <w:rStyle w:val="C13"/>
          <w:rtl w:val="0"/>
        </w:rPr>
        <w:t>Orientace v předpisech BOZP, PO a hygieny práce při lakýrnických a natěračských pracích</w:t>
      </w:r>
    </w:p>
    <w:p>
      <w:pPr>
        <w:pStyle w:val="P18"/>
        <w:framePr w:w="805" w:h="376" w:hRule="exact" w:wrap="none" w:vAnchor="page" w:hAnchor="margin" w:x="9916" w:y="1201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207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239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2448"/>
        <w:rPr>
          <w:rStyle w:val="C11"/>
          <w:rtl w:val="0"/>
        </w:rPr>
      </w:pPr>
      <w:r>
        <w:rPr>
          <w:rStyle w:val="C11"/>
          <w:rtl w:val="0"/>
        </w:rPr>
        <w:t>Nakládání s odpady</w:t>
      </w:r>
    </w:p>
    <w:p>
      <w:pPr>
        <w:pStyle w:val="P14"/>
        <w:framePr w:w="805" w:h="376" w:hRule="exact" w:wrap="none" w:vAnchor="page" w:hAnchor="margin" w:x="9916" w:y="1239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244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299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333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Lakýrník a natěrač / lakýrnice a natěračka, 11.9.2026 16:54:38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10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4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4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4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04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4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4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4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https://www.nsp.cz/jednotka-prace/lakyrnik-a-naterac-68d0#zdravotni-zpusobilost).</w:t>
      </w:r>
    </w:p>
    <w:p>
      <w:pPr>
        <w:keepNext w:val="0"/>
        <w:keepLines w:val="0"/>
        <w:framePr w:w="10766" w:h="104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4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být vybaven vlastním pracovním oděvem a obuví, po dohodě s autorizovanou osobou (zkoušejícím) může použít vlastní osobní ochranné pracovní prostředky, základní nářadí a pracovní pomůcky odpovídající prováděným pracím.</w:t>
      </w:r>
    </w:p>
    <w:p>
      <w:pPr>
        <w:keepNext w:val="0"/>
        <w:keepLines w:val="0"/>
        <w:framePr w:w="10766" w:h="104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4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způsobilostí je třeba respektovat ustanovení platných technických norem a právních předpisů (jsou uvedeny u odpovídajících kritérií):</w:t>
      </w:r>
    </w:p>
    <w:p>
      <w:pPr>
        <w:keepNext w:val="0"/>
        <w:keepLines w:val="1"/>
        <w:framePr w:w="10766" w:h="1042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zákon č. 185/2001 Sb., o odpadech a o změně některých dalších zákonů, ve znění pozdějších předpisů.</w:t>
      </w:r>
    </w:p>
    <w:p>
      <w:pPr>
        <w:keepNext w:val="0"/>
        <w:keepLines w:val="1"/>
        <w:framePr w:w="10766" w:h="1042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vyhláška č. 383/2001 Sb., o podrobnostech nakládání s odpady, ve znění pozdějších předpisů.</w:t>
      </w:r>
    </w:p>
    <w:p>
      <w:pPr>
        <w:keepNext w:val="0"/>
        <w:keepLines w:val="1"/>
        <w:framePr w:w="10766" w:h="1042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NV č. 362/2005 Sb., o bližších požadavcích na bezpečnost a ochranu zdraví při práci s nebezpečím pádu z výšky nebo do hloubky, ve znění pozdějších předpisů.</w:t>
      </w:r>
    </w:p>
    <w:p>
      <w:pPr>
        <w:keepNext w:val="0"/>
        <w:keepLines w:val="1"/>
        <w:framePr w:w="10766" w:h="1042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nově vydané právní předpisy a technické normy a změny platných právních předpisů a technických norem, které vstoupily v platnost v době platnosti hodnoticího standardu PK.</w:t>
      </w:r>
    </w:p>
    <w:p>
      <w:pPr>
        <w:keepNext w:val="0"/>
        <w:keepLines w:val="0"/>
        <w:framePr w:w="10766" w:h="104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4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předvedení je hodnocena organizace práce, volba a dodržování předepsaných technologických a pracovních postupů, volba a používání nářadí, zařízení a pracovních pomůcek, kvalita provedení prací, dodržování předpisů BOZP, PO a hygieny práce, používání osobních ochranných pracovních prostředků.</w:t>
      </w:r>
    </w:p>
    <w:p>
      <w:pPr>
        <w:keepNext w:val="0"/>
        <w:keepLines w:val="0"/>
        <w:framePr w:w="10766" w:h="104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způsobu ověření "písemné ověření" uchazeč vypracuje volně písemnou odpověď.</w:t>
      </w:r>
    </w:p>
    <w:p>
      <w:pPr>
        <w:keepNext w:val="0"/>
        <w:keepLines w:val="0"/>
        <w:framePr w:w="10766" w:h="104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způsobu ověření "ústní ověření" uchazeč odpoví ústně.</w:t>
      </w:r>
    </w:p>
    <w:p>
      <w:pPr>
        <w:keepNext w:val="0"/>
        <w:keepLines w:val="0"/>
        <w:framePr w:w="10766" w:h="104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způsobu ověření „praktické předvedení s ústním vysvětlením“ uchazeč v průběhu praktického předvádění nebo po jeho ukončení doplňuje činnosti ústním výkladem a zodpoví případné doplňující otázky zkoušejících.</w:t>
      </w:r>
    </w:p>
    <w:p>
      <w:pPr>
        <w:keepNext w:val="0"/>
        <w:keepLines w:val="0"/>
        <w:framePr w:w="10766" w:h="104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způsobu ověření "písemné a ústní ověření" uchazeč písemně a ústně odpoví na otevřené otázky zkoušejících.</w:t>
      </w:r>
    </w:p>
    <w:p>
      <w:pPr>
        <w:keepNext w:val="0"/>
        <w:keepLines w:val="0"/>
        <w:framePr w:w="10766" w:h="104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způsobu ověření „praktické předvedení s ústním odůvodněním“ uchazeč v průběhu praktického předvádění nebo po jeho ukončení doplňuje činnosti ústním odůvodněním a zodpoví případné doplňující otázky zkoušejících.</w:t>
      </w:r>
    </w:p>
    <w:p>
      <w:pPr>
        <w:keepNext w:val="0"/>
        <w:keepLines w:val="0"/>
        <w:framePr w:w="10766" w:h="104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4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charakteru některých činností při ověřování kritérií hodnocení je nezbytné uchazeči zajistit pomoc dalších osob.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Lakýrník a natěrač / lakýrnice a natěračka, 11.9.2026 16:54:38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sekce řemeslná, ustavená a licencovaná pro tuto činnost HK ČR a SP ČR.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Pavel Žatečka, OSVČ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Bc. Jan Zeman, OSVČ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SŠSS Teplice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 stavební Plzeň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SOŠ Praha 9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malířů, lakýrníků a tapetářů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Lakýrník a natěrač / lakýrnice a natěračka, 11.9.2026 16:54:38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5DFA5F0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