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9D04C6" Type="http://schemas.openxmlformats.org/officeDocument/2006/relationships/officeDocument" Target="/word/document.xml" /><Relationship Id="coreR319D04C6" Type="http://schemas.openxmlformats.org/package/2006/relationships/metadata/core-properties" Target="/docProps/core.xml" /><Relationship Id="customR319D04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malířských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malířských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malířské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pro malířské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Tmelení a broušení tmelených ploch při malířských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nátěrových hmot pro malířské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štětcem, válečkem a vysokotlakým stříkacím zařízením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a opravy maleb v jednom nebo více odstínech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dekorativních maleb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malířských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imitace mramoru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nátěrů fasád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malířských prací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malířských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29.10.2026 2:29:39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http://katalog.nsp.cz/karta_tp.aspx?id_jp=30725&amp;kod_sm1=41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prostředků.Vzhledem k charakteru některých činností při ověřování kritérií hodnocení je nezbytné zkoušenému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29.10.2026 2:29:39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29.10.2026 2:29:39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