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0EF61AD" Type="http://schemas.openxmlformats.org/officeDocument/2006/relationships/officeDocument" Target="/word/document.xml" /><Relationship Id="coreR40EF61AD" Type="http://schemas.openxmlformats.org/package/2006/relationships/metadata/core-properties" Target="/docProps/core.xml" /><Relationship Id="customR40EF61A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Malíř/malířka (kód: 39-001-H)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Speciální a interdisciplinární obory (kód: 39)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Malíř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Malíř/malířka, 29.10.2026 2:29:01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Malíř a lakýrník (kód: 39-41-H/01)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6.2.2009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Lakýrník a natěrač / lakýrnice a natěračka (kód: 39-002-H)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Malíř/malířka (kód: 39-001-H)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Tapetář/tapetářka (kód: 39-003-H)</w:t>
      </w:r>
    </w:p>
    <w:p>
      <w:pPr>
        <w:pStyle w:val="P6"/>
        <w:framePr w:w="10710" w:h="113" w:hRule="exact" w:wrap="none" w:vAnchor="page" w:hAnchor="margin" w:x="28" w:y="4778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118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5572"/>
        <w:rPr>
          <w:rStyle w:val="C16"/>
          <w:rtl w:val="0"/>
        </w:rPr>
      </w:pPr>
      <w:r>
        <w:rPr>
          <w:rStyle w:val="C16"/>
          <w:rtl w:val="0"/>
        </w:rPr>
        <w:t>Platnost od 6.2.2009 do neomezeně</w:t>
      </w:r>
    </w:p>
    <w:p>
      <w:pPr>
        <w:pStyle w:val="P12"/>
        <w:framePr w:w="10710" w:h="478" w:hRule="exact" w:wrap="none" w:vAnchor="page" w:hAnchor="margin" w:x="28" w:y="5820"/>
        <w:rPr>
          <w:rStyle w:val="C13"/>
          <w:rtl w:val="0"/>
        </w:rPr>
      </w:pPr>
      <w:r>
        <w:rPr>
          <w:rStyle w:val="C13"/>
          <w:rtl w:val="0"/>
        </w:rPr>
        <w:t>Úplnou profesní kvalifikaci Malíř a lakýrník (kód: 39-99-H/02)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641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412"/>
        <w:rPr>
          <w:rStyle w:val="C15"/>
          <w:rtl w:val="0"/>
        </w:rPr>
      </w:pPr>
      <w:r>
        <w:rPr>
          <w:rStyle w:val="C15"/>
          <w:rtl w:val="0"/>
        </w:rPr>
        <w:t>Platnost od 6.2.2009 do neomezeně</w:t>
      </w:r>
    </w:p>
    <w:p>
      <w:pPr>
        <w:pStyle w:val="P12"/>
        <w:framePr w:w="10256" w:h="248" w:hRule="exact" w:wrap="none" w:vAnchor="page" w:hAnchor="margin" w:x="482" w:y="6680"/>
        <w:rPr>
          <w:rStyle w:val="C13"/>
          <w:rtl w:val="0"/>
        </w:rPr>
      </w:pPr>
      <w:r>
        <w:rPr>
          <w:rStyle w:val="C13"/>
          <w:rtl w:val="0"/>
        </w:rPr>
        <w:t>Lakýrník a natěrač / lakýrnice a natěračka (kód: 39-002-H)</w:t>
      </w:r>
    </w:p>
    <w:p>
      <w:pPr>
        <w:pStyle w:val="P12"/>
        <w:framePr w:w="10256" w:h="248" w:hRule="exact" w:wrap="none" w:vAnchor="page" w:hAnchor="margin" w:x="482" w:y="6927"/>
        <w:rPr>
          <w:rStyle w:val="C13"/>
          <w:rtl w:val="0"/>
        </w:rPr>
      </w:pPr>
      <w:r>
        <w:rPr>
          <w:rStyle w:val="C13"/>
          <w:rtl w:val="0"/>
        </w:rPr>
        <w:t>Malíř/malířka (kód: 39-001-H)</w:t>
      </w:r>
    </w:p>
    <w:p>
      <w:pPr>
        <w:pStyle w:val="P12"/>
        <w:framePr w:w="10256" w:h="248" w:hRule="exact" w:wrap="none" w:vAnchor="page" w:hAnchor="margin" w:x="482" w:y="7175"/>
        <w:rPr>
          <w:rStyle w:val="C13"/>
          <w:rtl w:val="0"/>
        </w:rPr>
      </w:pPr>
      <w:r>
        <w:rPr>
          <w:rStyle w:val="C13"/>
          <w:rtl w:val="0"/>
        </w:rPr>
        <w:t>Tapetář/tapetářka (kód: 39-003-H)</w:t>
      </w:r>
    </w:p>
    <w:p>
      <w:pPr>
        <w:pStyle w:val="P6"/>
        <w:framePr w:w="10710" w:h="113" w:hRule="exact" w:wrap="none" w:vAnchor="page" w:hAnchor="margin" w:x="28" w:y="7423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7650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7990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8046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7990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8046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8351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8407"/>
        <w:rPr>
          <w:rStyle w:val="C18"/>
          <w:rtl w:val="0"/>
        </w:rPr>
      </w:pPr>
      <w:r>
        <w:rPr>
          <w:rStyle w:val="C18"/>
          <w:rtl w:val="0"/>
        </w:rPr>
        <w:t>Malíř</w:t>
      </w:r>
    </w:p>
    <w:p>
      <w:pPr>
        <w:pStyle w:val="P20"/>
        <w:framePr w:w="5338" w:h="376" w:hRule="exact" w:wrap="none" w:vAnchor="page" w:hAnchor="margin" w:x="5383" w:y="8351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8407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Malíř/malířka, 29.10.2026 2:29:01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