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A919459" Type="http://schemas.openxmlformats.org/officeDocument/2006/relationships/officeDocument" Target="/word/document.xml" /><Relationship Id="coreR7A919459" Type="http://schemas.openxmlformats.org/package/2006/relationships/metadata/core-properties" Target="/docProps/core.xml" /><Relationship Id="customR7A91945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Malíř (kód: 39-001-H)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Speciální a interdisciplinární obory (kód: 39)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Malíř, lakýrník a natěrač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provádění a oprav malířských prací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technologických postupech provádění a oprav maleb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provádění a oprav maleb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nátěrových hmotách a pomocných prostředcích pro malířské práce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kvality materiálů dostupnými prostředky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Posuzování stavu podkladu před prováděním maleb, stanovení způsobu přípravy podkladu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Tmelení ploch a broušení tmelených ploch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Nanášení malířských nátěrů štětkou, štětcem a válečkem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Příprava podkladu před prováděním maleb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a opravy všech druhů maleb v jednom nebo více odstínech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dekorativních omítek a linkrust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Provádění maleb dekorativními technikami, linkování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Provádění nátěrů fasád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Příprava nátěrových hmot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Upevňování lišt a jiných dekorativních prvků na stěny a stropy při provádění malířských a tapetářských prací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Příprava, používání, ošetřování a údržba nářadí, zařízení a pracovních pomůcek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Návrh barevného řešení malovaných prostorů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Výpočet množství nátěrů, spotřeby materiálů a zpracování položkového rozpočtu</w:t>
      </w:r>
    </w:p>
    <w:p>
      <w:pPr>
        <w:pStyle w:val="P18"/>
        <w:framePr w:w="805" w:h="376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39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448"/>
        <w:rPr>
          <w:rStyle w:val="C11"/>
          <w:rtl w:val="0"/>
        </w:rPr>
      </w:pPr>
      <w:r>
        <w:rPr>
          <w:rStyle w:val="C11"/>
          <w:rtl w:val="0"/>
        </w:rPr>
        <w:t>Zabezpečení pracoviště z hlediska bezpečnosti a ochrany zdraví při práci, hygieny práce a požární ochrany</w:t>
      </w:r>
    </w:p>
    <w:p>
      <w:pPr>
        <w:pStyle w:val="P14"/>
        <w:framePr w:w="805" w:h="376" w:hRule="exact" w:wrap="none" w:vAnchor="page" w:hAnchor="margin" w:x="9916" w:y="1239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44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76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824"/>
        <w:rPr>
          <w:rStyle w:val="C13"/>
          <w:rtl w:val="0"/>
        </w:rPr>
      </w:pPr>
      <w:r>
        <w:rPr>
          <w:rStyle w:val="C13"/>
          <w:rtl w:val="0"/>
        </w:rPr>
        <w:t>Nakládání s odpady</w:t>
      </w:r>
    </w:p>
    <w:p>
      <w:pPr>
        <w:pStyle w:val="P18"/>
        <w:framePr w:w="805" w:h="376" w:hRule="exact" w:wrap="none" w:vAnchor="page" w:hAnchor="margin" w:x="9916" w:y="1276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82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337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3711"/>
        <w:rPr>
          <w:rStyle w:val="C15"/>
          <w:rtl w:val="0"/>
        </w:rPr>
      </w:pPr>
      <w:r>
        <w:rPr>
          <w:rStyle w:val="C15"/>
          <w:rtl w:val="0"/>
        </w:rPr>
        <w:t>Standard je platný od: 06.02.2009 do: 15.02.2017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Malíř, 13.9.2026 18:00:54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Hodnotící standard je nástrojem ověřování zvládnutí odborných způsobilostí nezbytných k výkonu činností, které jsou vymezeny kvalifikačním standardem úplné nebo dílčí kvalifikace. Hodnotící standard stanovuje kritéria hodnocení a způsob ověřování jejich zvládnutí.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Kritériem hodnocení může být: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proces (např. pracovní postup)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výsledek procesu (výpočet hodnot, výrobek)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proces i výsledek (pracovní postup na jehož konci je výsledek – hotové dílo)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tomu, že hodnotící standard nemůže vzít v úvahu všechny možné varianty ověřování odborných způsobilostí, hodnotitel rozpracuje (upřesní) kritéria hodnocení tak, aby odpovídala konkrétnímu zadání. Přitom nemůže měnit obecný charakter kritérií hodnocení ani žádné povinné kritérium vypustit.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zvládnutí kritérií hodnocení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 a hygieny práce.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Malíř, 13.9.2026 18:00:54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ve stavebnictví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malířů a lakýrníků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Malíř, 13.9.2026 18:00:54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