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E5E553" Type="http://schemas.openxmlformats.org/officeDocument/2006/relationships/officeDocument" Target="/word/document.xml" /><Relationship Id="coreR9E5E553" Type="http://schemas.openxmlformats.org/package/2006/relationships/metadata/core-properties" Target="/docProps/core.xml" /><Relationship Id="customR9E5E5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(kód: 39-001-H)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malířských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malířských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malířských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malířské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malířské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Příprava, používání a údržba nářadí, zařízení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podkladu pro malířské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Tmelení a broušení tmelených ploch při malířských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nátěrových hmot pro malířské práce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Nanášení malířských nátěrů štětkou, štětcem, válečkem a vysokotlakým stříkacím zařízením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a opravy maleb v jednom nebo více odstínech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dekorativních maleb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malířských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imitace mramoru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nátěrů fasád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Upevňování lišt a jiných dekorativních prvků na stěny a stropy při provádění malířských prací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Návrh barevného řešení malovaných prostorů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Výpočet množství nátěrů, spotřeby materiálů a zpracování položkového rozpočtu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Orientace v předpisech BOZP, PO a hygieny práce při malířských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Nakládání s odpady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http://katalog.nsp.cz/karta_tp.aspx?id_jp=30725&amp;kod_sm1=41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PO a hygieny práce a používání osobních ochranných pracovních prostředků.Vzhledem k charakteru některých činností při ověřování kritérií hodnocení je nezbytné zkoušenému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České republiky, o.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Radomil Konečný,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Jaroslav Málek,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Zdeněk Daňo,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Zeman,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Jiří Nový, OSVČ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Martin Páral,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Malíř, 28.10.2026 23:11:36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