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ED94C2" Type="http://schemas.openxmlformats.org/officeDocument/2006/relationships/officeDocument" Target="/word/document.xml" /><Relationship Id="coreR55ED94C2" Type="http://schemas.openxmlformats.org/package/2006/relationships/metadata/core-properties" Target="/docProps/core.xml" /><Relationship Id="customR55ED94C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Malíř/malířka (kód: 39-001-H)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Malíř/malířka,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Malíř a lakýrník (kód: 39-41-H/01)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Lakýrník a natěrač / lakýrnice a natěračka (kód: 39-002-H)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Malíř/malířka (kód: 39-001-H)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Tapetář/tapetářka (kód: 39-003-H)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Malíř a lakýrník (kód: 39-99-H/02)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6.2.2009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Lakýrník a natěrač / lakýrnice a natěračka (kód: 39-002-H)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Malíř/malířka (kód: 39-001-H)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Tapetář/tapetářka (kód: 39-003-H)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Malíř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Malíř/malířka,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