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FE3F1" Type="http://schemas.openxmlformats.org/officeDocument/2006/relationships/officeDocument" Target="/word/document.xml" /><Relationship Id="coreR3FAFE3F1" Type="http://schemas.openxmlformats.org/package/2006/relationships/metadata/core-properties" Target="/docProps/core.xml" /><Relationship Id="customR3FAFE3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(dámských nebo pánských kalhot a buď podšitého saka nebo podšitého pláště) pro konkrétního zákazníka nebo konkrétní zákaznici (tzn. na konkrétní postavu),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 nebo plášť,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kompetence Sestavování střihových poloh pro oddělování dílů a součástí oděvů a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výstřihu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