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FA58F" Type="http://schemas.openxmlformats.org/officeDocument/2006/relationships/officeDocument" Target="/word/document.xml" /><Relationship Id="coreR735FA58F" Type="http://schemas.openxmlformats.org/package/2006/relationships/metadata/core-properties" Target="/docProps/core.xml" /><Relationship Id="customR735FA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28.4.2026 23:03:09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D3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F7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