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4B22D" Type="http://schemas.openxmlformats.org/officeDocument/2006/relationships/officeDocument" Target="/word/document.xml" /><Relationship Id="coreR1D94B22D" Type="http://schemas.openxmlformats.org/package/2006/relationships/metadata/core-properties" Target="/docProps/core.xml" /><Relationship Id="customR1D94B2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obleků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obleků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obleků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obleků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obleků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obleků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obleků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obleků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obleků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obleků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(pánských kalhot a podšitého saka) pro konkrétního zákazníka (tzn. na konkrétní postavu), nastříhání dílů (z vrchového materiálu), zhotovení kalhot a rozpracování saka nejméně pro 2. zkoušku, včetně oprav po 2. zkoušce (tzn., že budou kompletně vypracovány dílce a montáž bude provedena minimálně stehováním).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pánské kalhoty vypracovány do pasového límce s podšívkovým spodním límcem, s 8 poutky, budou mít podkrytový rozparek zapínaný na zdrhovadlo, klínové boční kapsy a jednu zadní kapsu s výpuskovou lištou, v ukončení s uzávěrkou. Pánské sako bude celopodšité, s fazonou a límcem – vrchní límec se stojáčkem, spodní límec z plsti, bude zapínané na knoflíky, vnější přední díly budou mít 1 náprsní lištovou kapsu a 2 boční prostřižené kapsy,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sako nemusí být zcela dokončeno.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obleků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27.10.2026 3:39:21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