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BE072B" Type="http://schemas.openxmlformats.org/officeDocument/2006/relationships/officeDocument" Target="/word/document.xml" /><Relationship Id="coreR16BE072B" Type="http://schemas.openxmlformats.org/package/2006/relationships/metadata/core-properties" Target="/docProps/core.xml" /><Relationship Id="customR16BE07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obleků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obleků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obleků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obleků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obleků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obleků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obleků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obleků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obleků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obleků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obleků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pánských obleků,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(pánských kalhot a podšitého saka) pro konkrétního zákazníka (tzn. na konkrétní postavu), nastříhání dílů (z vrchového materiálu), zhotovení kalhot a rozpracování saka nejméně pro 2. zkoušku, včetně oprav po 2. zkoušce (tzn., že budou kompletně vypracovány dílce a montáž bude provedena minimálně stehováním).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pánské kalhoty vypracovány do pasového límce s podšívkovým spodním límcem, s 8 poutky, budou mít podkrytový rozparek zapínaný na zdrhovadlo, klínové boční kapsy a jednu zadní kapsu s výpuskovou lištou, v ukončení s uzávěrkou. Pánské sako bude celopodšité, s fazonou a límcem – vrchní límec se stojáčkem, spodní límec z plsti, bude zapínané na knoflíky, vnější přední díly budou mít 1 náprsní lištovou kapsu a 2 boční prostřižené kapsy,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odborná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hodnocení prakticky provést nebo vysvětlit, tzn., že sako nemusí být zcela dokončeno.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obleků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pánských obleků,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pánských obleků,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