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00AAC3" Type="http://schemas.openxmlformats.org/officeDocument/2006/relationships/officeDocument" Target="/word/document.xml" /><Relationship Id="coreR1500AAC3" Type="http://schemas.openxmlformats.org/package/2006/relationships/metadata/core-properties" Target="/docProps/core.xml" /><Relationship Id="customR1500AA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03.02.2009 do: 15.04.2013</w:t>
      </w:r>
    </w:p>
    <w:p>
      <w:pPr>
        <w:pStyle w:val="P21"/>
        <w:framePr w:w="7654" w:h="331" w:hRule="exact" w:wrap="none" w:vAnchor="page" w:hAnchor="margin" w:x="28" w:y="15940"/>
        <w:rPr>
          <w:rStyle w:val="C16"/>
          <w:rtl w:val="0"/>
        </w:rPr>
      </w:pPr>
      <w:r>
        <w:rPr>
          <w:rStyle w:val="C16"/>
          <w:rtl w:val="0"/>
        </w:rPr>
        <w:t>Zhotovitel zateplovacích systémů, 29.10.2026 17:35:22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 Na příklad při ověřování kompetence „zdění zdiva“ může zadat zdění zdiva z různých materiálů.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Zhotovitel zateplovacích systémů, 29.10.2026 17:35:22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Zhotovitel zateplovacích systémů, 29.10.2026 17:35:22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