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CFB451" Type="http://schemas.openxmlformats.org/officeDocument/2006/relationships/officeDocument" Target="/word/document.xml" /><Relationship Id="coreR65CFB451" Type="http://schemas.openxmlformats.org/package/2006/relationships/metadata/core-properties" Target="/docProps/core.xml" /><Relationship Id="customR65CFB4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skladování a příprava materiálů před zpracováním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03.02.2009 do: 15.04.2013</w:t>
      </w:r>
    </w:p>
    <w:p>
      <w:pPr>
        <w:pStyle w:val="P21"/>
        <w:framePr w:w="7654" w:h="331" w:hRule="exact" w:wrap="none" w:vAnchor="page" w:hAnchor="margin" w:x="28" w:y="15940"/>
        <w:rPr>
          <w:rStyle w:val="C16"/>
          <w:rtl w:val="0"/>
        </w:rPr>
      </w:pPr>
      <w:r>
        <w:rPr>
          <w:rStyle w:val="C16"/>
          <w:rtl w:val="0"/>
        </w:rPr>
        <w:t>Zhotovitel zateplovacích systémů, 14.9.2026 9:58:17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jednotlivých odborných způsobilostí.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 Na příklad při ověřování kompetence „zdění zdiva“ může zadat zdění zdiva z různých materiálů.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Zhotovitel zateplovacích systémů, 14.9.2026 9:58:17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7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Zhotovitel zateplovacích systémů, 14.9.2026 9:58:17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