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FA147" Type="http://schemas.openxmlformats.org/officeDocument/2006/relationships/officeDocument" Target="/word/document.xml" /><Relationship Id="coreRBFFA147" Type="http://schemas.openxmlformats.org/package/2006/relationships/metadata/core-properties" Target="/docProps/core.xml" /><Relationship Id="customRBFFA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22.7.2026 12:18:36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