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4A285C" Type="http://schemas.openxmlformats.org/officeDocument/2006/relationships/officeDocument" Target="/word/document.xml" /><Relationship Id="coreR6F4A285C" Type="http://schemas.openxmlformats.org/package/2006/relationships/metadata/core-properties" Target="/docProps/core.xml" /><Relationship Id="customR6F4A285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 (kód: 21-011-H)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na tavírně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Metalurgické procesy tavení kovů v tavících agregátech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vsázkových materiálů pro tavení a žáruvzdorné materiály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Metalurgické procesy při úpravě tekutých kovů v agregátech sekundární metalurgie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tavících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Rozlišení litých kovových materiálů a jejich hlavních vlastností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Odlévání do forem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https://www.nsp.cz/jednotka-prace/tavic#zdravotni-zpusobilost).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Zkoušející sdělí a nejpozději spolu s pozvánkou zašle uchazeči výčet materiálního vybavení autorizované osoby, na kterém zkouška proběhne, a dále sdělí aspekty, které budou sledovány při výkonu činností a při nakládání s materiálem.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variant, které umožňuje tento hodnoticí standard a podmínky autorizované osoby, si uchazeč zvolí tu, která nejvíce odpovídá jeho potřebám a zkušenostem: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alternativně může být zkouška vykonána ve slévárně, která disponuje tavicí pecí a alespoň jednou z následujících technologií: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Kokilové lití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Tlakové lití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c. Lití do písku.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 zvolené variantě uchazeč informuje autorizovanou osobu, a to nejpozději v termínu, který uvede autorizovaná osoba v pozvánce.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