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1068C3" Type="http://schemas.openxmlformats.org/officeDocument/2006/relationships/officeDocument" Target="/word/document.xml" /><Relationship Id="coreR401068C3" Type="http://schemas.openxmlformats.org/package/2006/relationships/metadata/core-properties" Target="/docProps/core.xml" /><Relationship Id="customR401068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tavírně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Metalurgické procesy tavení kovů v tavících agregátech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vsázkových materiálů pro tavení a žáruvzdorné materiály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tavících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Rozlišení litých kovových materiálů a jejich hlavních vlastností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Odlévání do forem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https://www.nsp.cz/jednotka-prace/tavic#zdravotni-zpusobilost).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sdělí a nejpozději spolu s pozvánkou zašle uchazeči výčet materiálního vybavení autorizované osoby, na kterém zkouška proběhne, a dále sdělí aspekty, které budou sledovány při výkonu činností a při nakládání s materiálem.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variant, které umožňuje tento hodnoticí standard a podmínky autorizované osoby, si uchazeč zvolí tu, která nejvíce odpovídá jeho potřebám a zkušenostem: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alternativně může být zkouška vykonána ve slévárně, která disponuje tavicí pecí a alespoň jednou z následujících technologií: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Kokilové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Tlakové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c. Lití do písku.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zvolené variantě uchazeč informuje autorizovanou osobu, a to nejpozději v termínu, který uvede autorizovaná osoba v pozvánce.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