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E49EB7" Type="http://schemas.openxmlformats.org/officeDocument/2006/relationships/officeDocument" Target="/word/document.xml" /><Relationship Id="coreR31E49EB7" Type="http://schemas.openxmlformats.org/package/2006/relationships/metadata/core-properties" Target="/docProps/core.xml" /><Relationship Id="customR31E49E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ve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tavírně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Metalurgické procesy tavení kovů v tavících agregátech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vsázkových materiálů pro tavení a žáruvzdorné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Metalurgické procesy při úpravě tekutých kovů v agregátech sekundární metalurgie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tavících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Rozlišení litých kovových materiálů a jejich hlavních vlastností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Odlévání do forem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Tavič/tavička, 27.10.2026 3:47:14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https://www.nsp.cz/jednotka-prace/tavic#zdravotni-zpusobilost).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sdělí a nejpozději spolu s pozvánkou zašle uchazeči výčet materiálního vybavení autorizované osoby, na kterém zkouška proběhne, a dále sdělí aspekty, které budou sledovány při výkonu činností a při nakládání s materiálem.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variant, které umožňuje tento hodnoticí standard a podmínky autorizované osoby, si uchazeč zvolí tu, která nejvíce odpovídá jeho potřebám a zkušenostem: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alternativně může být zkouška vykonána ve slévárně, která disponuje tavicí pecí a alespoň jednou z následujících technologií: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Kokilové lití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Tlakové lití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Lití do písku.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zvolené variantě uchazeč informuje autorizovanou osobu, a to nejpozději v termínu, který uvede autorizovaná osoba v pozvánce.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Tavič/tavička, 27.10.2026 3:47:14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Tavič/tavička, 27.10.2026 3:47:14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