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E382E2" Type="http://schemas.openxmlformats.org/officeDocument/2006/relationships/officeDocument" Target="/word/document.xml" /><Relationship Id="coreR67E382E2" Type="http://schemas.openxmlformats.org/package/2006/relationships/metadata/core-properties" Target="/docProps/core.xml" /><Relationship Id="customR67E382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restauračních moučníků (kód: 29-012-H)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restauračních moučníků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přípravu restauračních moučníků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restauračních moučníků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a hmot na přípravu teplých a studených restauračních moučníků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úpravy restauračních moučníků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teplých a studených restauračních moučníků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Aranžování a úprava při servírování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a seřizování strojů a zařízení při výrobě restauračních moučníků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cukrářských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25.02.2013 do: 28.06.2019</w:t>
      </w:r>
    </w:p>
    <w:p>
      <w:pPr>
        <w:pStyle w:val="P21"/>
        <w:framePr w:w="7654" w:h="331" w:hRule="exact" w:wrap="none" w:vAnchor="page" w:hAnchor="margin" w:x="28" w:y="15940"/>
        <w:rPr>
          <w:rStyle w:val="C16"/>
          <w:rtl w:val="0"/>
        </w:rPr>
      </w:pPr>
      <w:r>
        <w:rPr>
          <w:rStyle w:val="C16"/>
          <w:rtl w:val="0"/>
        </w:rPr>
        <w:t>Výroba restauračních moučníků, 13.9.2026 18:11:17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6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http://katalog.nsp.cz/karta_p.aspx?id_jp=100230&amp;kod_sm1=28).</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restauračního moučníku s využitím technologických postupů, estetických pravidel a hygienických zásad při přípravě jednotlivých komponent a hotových výrobků.</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minimálně 3 různých druhů restauračních moučníků tak, aby byla ověřena kritéria u kompetence „Tepelná úprava restauračních moučníků“. Množství (počet) výrobků od každého druhu určí zkoušející.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21"/>
        <w:framePr w:w="7654" w:h="331" w:hRule="exact" w:wrap="none" w:vAnchor="page" w:hAnchor="margin" w:x="28" w:y="15940"/>
        <w:rPr>
          <w:rStyle w:val="C16"/>
          <w:rtl w:val="0"/>
        </w:rPr>
      </w:pPr>
      <w:r>
        <w:rPr>
          <w:rStyle w:val="C16"/>
          <w:rtl w:val="0"/>
        </w:rPr>
        <w:t>Výroba restauračních moučníků, 13.9.2026 18:11:17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restauračních moučníků, 13.9.2026 18:11:17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