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7BD7D4" Type="http://schemas.openxmlformats.org/officeDocument/2006/relationships/officeDocument" Target="/word/document.xml" /><Relationship Id="coreR267BD7D4" Type="http://schemas.openxmlformats.org/package/2006/relationships/metadata/core-properties" Target="/docProps/core.xml" /><Relationship Id="customR267BD7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neželezných kovů, 29.10.2026 2:22:27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https://www.nsp.cz/jednotka-prace/hutnik-tavic-nezeleznych-#zdravotni-zpusobilost).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taviče drahých kovů je předpokladem trestní bezúhonnost, je třeba ji doložit výpisem z rejstříku trestů.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bude realizována v simulovaném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neželezných kovů, 29.10.2026 2:22:27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neželezných kovů, 29.10.2026 2:22:27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