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A456D5" Type="http://schemas.openxmlformats.org/officeDocument/2006/relationships/officeDocument" Target="/word/document.xml" /><Relationship Id="coreR71A456D5" Type="http://schemas.openxmlformats.org/package/2006/relationships/metadata/core-properties" Target="/docProps/core.xml" /><Relationship Id="customR71A456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neželezných kovů, 28.10.2026 21:16:39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https://www.nsp.cz/jednotka-prace/hutnik-tavic-nezeleznych-#zdravotni-zpusobilost).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taviče drahých kovů je předpokladem trestní bezúhonnost, je třeba ji doložit výpisem z rejstříku trestů.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bude realizována v simulovaném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neželezných kovů, 28.10.2026 21:16:39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neželezných kovů, 28.10.2026 21:16:39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