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790C5" Type="http://schemas.openxmlformats.org/officeDocument/2006/relationships/officeDocument" Target="/word/document.xml" /><Relationship Id="coreR9D790C5" Type="http://schemas.openxmlformats.org/package/2006/relationships/metadata/core-properties" Target="/docProps/core.xml" /><Relationship Id="customR9D79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na ocelárenské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oceláren (například konvertor, elektrická oblouková pec, SM-pec..)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ocelárenských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Upravit složení strusky na požadovanou kvalitu a nahodit strusku novou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Promíchat tekutou strusku po přidání legur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Odstranění strusky s povrchu taveniny v tavících pecích pomocí pomůcek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Vyjmenovat způsoby přepravy strusky od tavících pecí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způsob úpravy strusky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kritéria (a) + b) + c) + e) + f), nebo (a) + d) + e) + f)).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 + e)), nebo (c) + f)).</w:t>
      </w:r>
    </w:p>
    <w:p>
      <w:pPr>
        <w:pStyle w:val="P23"/>
        <w:framePr w:w="10710" w:h="547" w:hRule="exact" w:wrap="none" w:vAnchor="page" w:hAnchor="margin" w:x="28" w:y="11243"/>
        <w:rPr>
          <w:rStyle w:val="C18"/>
          <w:rtl w:val="0"/>
        </w:rPr>
      </w:pPr>
      <w:r>
        <w:rPr>
          <w:rStyle w:val="C18"/>
          <w:rtl w:val="0"/>
        </w:rPr>
        <w:t>Řízení režimu foukání kyslíku do konvertorů ve výrobě oceli a chodu konvertorů pomocí měřící techniky</w:t>
      </w:r>
    </w:p>
    <w:p>
      <w:pPr>
        <w:pStyle w:val="P24"/>
        <w:framePr w:w="6713" w:h="376" w:hRule="exact" w:wrap="none" w:vAnchor="page" w:hAnchor="margin" w:x="45" w:y="118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2"/>
        <w:rPr>
          <w:rStyle w:val="C11"/>
          <w:rtl w:val="0"/>
        </w:rPr>
      </w:pPr>
      <w:r>
        <w:rPr>
          <w:rStyle w:val="C11"/>
          <w:rtl w:val="0"/>
        </w:rPr>
        <w:t>a) Obsluhovat provzdušňovací zařízení konvertorů na výrobu ocelí</w:t>
      </w:r>
    </w:p>
    <w:p>
      <w:pPr>
        <w:pStyle w:val="P28"/>
        <w:framePr w:w="3921" w:h="607" w:hRule="exact" w:wrap="none" w:vAnchor="page" w:hAnchor="margin" w:x="6800" w:y="122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29"/>
        <w:rPr>
          <w:rStyle w:val="C13"/>
          <w:rtl w:val="0"/>
        </w:rPr>
      </w:pPr>
      <w:r>
        <w:rPr>
          <w:rStyle w:val="C13"/>
          <w:rtl w:val="0"/>
        </w:rPr>
        <w:t>b) Obsluhovat zařízení pro regulaci množství přiváděného kyslíku do konvektorů v závislosti na zjištěných hodnotách měřícím zařízením</w:t>
      </w:r>
    </w:p>
    <w:p>
      <w:pPr>
        <w:pStyle w:val="P30"/>
        <w:framePr w:w="3921" w:h="607" w:hRule="exact" w:wrap="none" w:vAnchor="page" w:hAnchor="margin" w:x="6800" w:y="12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3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6"/>
        <w:rPr>
          <w:rStyle w:val="C11"/>
          <w:rtl w:val="0"/>
        </w:rPr>
      </w:pPr>
      <w:r>
        <w:rPr>
          <w:rStyle w:val="C11"/>
          <w:rtl w:val="0"/>
        </w:rPr>
        <w:t>c) Obsluhovat a upravovat chod konvertorů v závislosti na naměřených hodnotách</w:t>
      </w:r>
    </w:p>
    <w:p>
      <w:pPr>
        <w:pStyle w:val="P28"/>
        <w:framePr w:w="3921" w:h="607" w:hRule="exact" w:wrap="none" w:vAnchor="page" w:hAnchor="margin" w:x="6800" w:y="13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4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2"/>
        <w:rPr>
          <w:rStyle w:val="C13"/>
          <w:rtl w:val="0"/>
        </w:rPr>
      </w:pPr>
      <w:r>
        <w:rPr>
          <w:rStyle w:val="C13"/>
          <w:rtl w:val="0"/>
        </w:rPr>
        <w:t>d) Obsluhovat měřící zařízení a pomůcky pro měření kvality taveniny</w:t>
      </w:r>
    </w:p>
    <w:p>
      <w:pPr>
        <w:pStyle w:val="P30"/>
        <w:framePr w:w="3921" w:h="607" w:hRule="exact" w:wrap="none" w:vAnchor="page" w:hAnchor="margin" w:x="6800" w:y="14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49"/>
        <w:rPr>
          <w:rStyle w:val="C11"/>
          <w:rtl w:val="0"/>
        </w:rPr>
      </w:pPr>
      <w:r>
        <w:rPr>
          <w:rStyle w:val="C11"/>
          <w:rtl w:val="0"/>
        </w:rPr>
        <w:t>e) Vést evidenci provedených opatření a kontrol</w:t>
      </w:r>
    </w:p>
    <w:p>
      <w:pPr>
        <w:pStyle w:val="P28"/>
        <w:framePr w:w="3921" w:h="607" w:hRule="exact" w:wrap="none" w:vAnchor="page" w:hAnchor="margin" w:x="6800" w:y="14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4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5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