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14D03" Type="http://schemas.openxmlformats.org/officeDocument/2006/relationships/officeDocument" Target="/word/document.xml" /><Relationship Id="coreR36A14D03" Type="http://schemas.openxmlformats.org/package/2006/relationships/metadata/core-properties" Target="/docProps/core.xml" /><Relationship Id="customR36A14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07.03.2013 do: 20.10.2022</w:t>
      </w:r>
    </w:p>
    <w:p>
      <w:pPr>
        <w:pStyle w:val="P21"/>
        <w:framePr w:w="7654" w:h="331" w:hRule="exact" w:wrap="none" w:vAnchor="page" w:hAnchor="margin" w:x="28" w:y="15940"/>
        <w:rPr>
          <w:rStyle w:val="C16"/>
          <w:rtl w:val="0"/>
        </w:rPr>
      </w:pPr>
      <w:r>
        <w:rPr>
          <w:rStyle w:val="C16"/>
          <w:rtl w:val="0"/>
        </w:rPr>
        <w:t>Hutník přípravář vsázky aglomerace, 2.8.2026 0:07:51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vsázky aglomerace, 2.8.2026 0:07:51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vsázky aglomerace, 2.8.2026 0:07:51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vsázky aglomerace, 2.8.2026 0:07:51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vsázky aglomerace, 2.8.2026 0:07:51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vsázky aglomerace, 2.8.2026 0:07:51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