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A1C2D11" Type="http://schemas.openxmlformats.org/officeDocument/2006/relationships/officeDocument" Target="/word/document.xml" /><Relationship Id="coreR2A1C2D11" Type="http://schemas.openxmlformats.org/package/2006/relationships/metadata/core-properties" Target="/docProps/core.xml" /><Relationship Id="customR2A1C2D1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vysokopecař / hutnice vysokopecařka (kód: 21-005-H)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železných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Normalizace při výrobě a lití kovů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Dodržování bezpečnosti práce v hutním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zařízení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Ověřování kvality výroby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Tavení kovů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Obsluha a řízení procesu lití kovů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 / hutnice vysokopecařka, 11.9.2026 20:03:38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https://www.nsp.cz/jednotka-prace/hutnik-vysokopecar#zdravotni-zpusobilost).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probíhá v reálném prostředí, činnosti uchazeče jsou prováděny simulovaně.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To znamená: 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sdělí a spolu s pozvánkou zašle uchazeči, jaké činnosti budou ověřovány, jaké aspekty budou sledovány při výkonu činností a při nakládání s materiálem.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 / hutnice vysokopecařka, 11.9.2026 20:03:38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vysokopecař / hutnice vysokopecařka, 11.9.2026 20:03:38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