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79F869" Type="http://schemas.openxmlformats.org/officeDocument/2006/relationships/officeDocument" Target="/word/document.xml" /><Relationship Id="coreR1F79F869" Type="http://schemas.openxmlformats.org/package/2006/relationships/metadata/core-properties" Target="/docProps/core.xml" /><Relationship Id="customR1F79F8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vysokopecař / hutnice vysokopecařka (kód: 21-005-H)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železných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a lití kovů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 v hutním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zařízení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kvality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Tavení kovů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a řízení procesu lití kovů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 / hutnice vysokopecařka, 11.9.2026 17:46:06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https://www.nsp.cz/jednotka-prace/hutnik-vysokopecar#zdravotni-zpusobilost).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prostředí, činnosti uchazeče jsou prováděny simulovaně.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To znamená: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spolu s pozvánkou zašle uchazeči, jaké činnosti budou ověřovány, jaké aspekty budou sledovány při výkonu činností a při nakládání s materiálem.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 / hutnice vysokopecařka, 11.9.2026 17:46:06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 / hutnice vysokopecařka, 11.9.2026 17:46:06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