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6976A" Type="http://schemas.openxmlformats.org/officeDocument/2006/relationships/officeDocument" Target="/word/document.xml" /><Relationship Id="coreR2916976A" Type="http://schemas.openxmlformats.org/package/2006/relationships/metadata/core-properties" Target="/docProps/core.xml" /><Relationship Id="customR291697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17:49:16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dodacích listech a dalších dokumentech doprovázejících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příslušnou prodejní dokumentaci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a evidovat objednávku na zboží či materiál od odběratele s využitím softwarového vybavení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Evidence skladovaného zboží včetně evidence pohybu zásob a zpracování přehledů o zásobách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Vyhotovit doklady spojené s odběrem a přejímkou zboží či materiálu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Zpracovat a evidovat vyhotovené doklady s využitím softwarového vybavení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+ výpočet a slovní zdůvodnění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Přijmout a evidovat požadavek na výdej zboží či materiálu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83"/>
        <w:rPr>
          <w:rStyle w:val="C18"/>
          <w:rtl w:val="0"/>
        </w:rPr>
      </w:pPr>
      <w:r>
        <w:rPr>
          <w:rStyle w:val="C18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Evidovat seznam dodavatelů a odběratelů s využitím softwarového vybavení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b) Informovat průběžně odběratele o nabízeném zboží a materiálu, o nových druzích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Zkontrolovat senzoricky a zhodnotit druh a kvalitu dodaného zboží či materiálu</w:t>
      </w:r>
    </w:p>
    <w:p>
      <w:pPr>
        <w:pStyle w:val="P28"/>
        <w:framePr w:w="3921" w:h="607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4"/>
        <w:rPr>
          <w:rStyle w:val="C13"/>
          <w:rtl w:val="0"/>
        </w:rPr>
      </w:pPr>
      <w:r>
        <w:rPr>
          <w:rStyle w:val="C13"/>
          <w:rtl w:val="0"/>
        </w:rPr>
        <w:t>b) Vyřizovat reklamaci zboží a materiálu v souladu s platnou legislativou</w:t>
      </w:r>
    </w:p>
    <w:p>
      <w:pPr>
        <w:pStyle w:val="P30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1"/>
        <w:rPr>
          <w:rStyle w:val="C11"/>
          <w:rtl w:val="0"/>
        </w:rPr>
      </w:pPr>
      <w:r>
        <w:rPr>
          <w:rStyle w:val="C11"/>
          <w:rtl w:val="0"/>
        </w:rPr>
        <w:t>c) Vyhotovit a evidovat doklady spojené s reklamací zboží a materiálu, např. zápis o vadách</w:t>
      </w:r>
    </w:p>
    <w:p>
      <w:pPr>
        <w:pStyle w:val="P28"/>
        <w:framePr w:w="3921" w:h="607" w:hRule="exact" w:wrap="none" w:vAnchor="page" w:hAnchor="margin" w:x="6800" w:y="125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8"/>
        <w:rPr>
          <w:rStyle w:val="C13"/>
          <w:rtl w:val="0"/>
        </w:rPr>
      </w:pPr>
      <w:r>
        <w:rPr>
          <w:rStyle w:val="C13"/>
          <w:rtl w:val="0"/>
        </w:rPr>
        <w:t>d) Vystavit protokol o reklamačním řízení</w:t>
      </w:r>
    </w:p>
    <w:p>
      <w:pPr>
        <w:pStyle w:val="P30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17:49:16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Inventura a inventarizace zásob zboží a materiálu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zásoby zboží a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+ metrologicky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Zjistit skutečný stav zboží a materiálu převážením, přeměřením, přepočítáním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Porovnat fyzický stav zásob zboží a materiálu se stavem účetním a zaznamenat zjištěné rozdíly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+ písemně výpočet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Spolupracovat při odstraňování nedostatků zjištěných inventurou podle pokynů nadřízeného v souladu s předpisy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Plánování druhu a množství objednávaného zboží a materiálu do skladu na základě předpokládaného odbytu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Vést evidenci o pohybu zboží a materiálu ve skladu</w:t>
      </w:r>
    </w:p>
    <w:p>
      <w:pPr>
        <w:pStyle w:val="P28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71"/>
        <w:rPr>
          <w:rStyle w:val="C13"/>
          <w:rtl w:val="0"/>
        </w:rPr>
      </w:pPr>
      <w:r>
        <w:rPr>
          <w:rStyle w:val="C13"/>
          <w:rtl w:val="0"/>
        </w:rPr>
        <w:t>b) Sledovat poptávku odběratelů po jednotlivých druzích zboží a materiálu</w:t>
      </w:r>
    </w:p>
    <w:p>
      <w:pPr>
        <w:pStyle w:val="P30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7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76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40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za materiál od odběratelů</w:t>
      </w:r>
    </w:p>
    <w:p>
      <w:pPr>
        <w:pStyle w:val="P24"/>
        <w:framePr w:w="6713" w:h="376" w:hRule="exact" w:wrap="none" w:vAnchor="page" w:hAnchor="margin" w:x="45" w:y="84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1"/>
        <w:rPr>
          <w:rStyle w:val="C11"/>
          <w:rtl w:val="0"/>
        </w:rPr>
      </w:pPr>
      <w:r>
        <w:rPr>
          <w:rStyle w:val="C11"/>
          <w:rtl w:val="0"/>
        </w:rPr>
        <w:t>a) Dohodnout smluvně způsob platby s odběratelem</w:t>
      </w:r>
    </w:p>
    <w:p>
      <w:pPr>
        <w:pStyle w:val="P28"/>
        <w:framePr w:w="3921" w:h="376" w:hRule="exact" w:wrap="none" w:vAnchor="page" w:hAnchor="margin" w:x="6800" w:y="8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Přijmout hotovost, ověřit platnost měny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Vyúčtovat platbu odběrateli, přijatou hotovost uložit a zaevidovat předepsaným způsobem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Vystavit a zaevidovat doklad o hotovostní nebo bezhotovostní platbě</w:t>
      </w:r>
    </w:p>
    <w:p>
      <w:pPr>
        <w:pStyle w:val="P30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Písemně + slovní zdůvodnění</w:t>
      </w:r>
    </w:p>
    <w:p>
      <w:pPr>
        <w:pStyle w:val="P12"/>
        <w:framePr w:w="6710" w:h="376" w:hRule="exact" w:wrap="none" w:vAnchor="page" w:hAnchor="margin" w:x="45" w:y="10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7"/>
        <w:rPr>
          <w:rStyle w:val="C11"/>
          <w:rtl w:val="0"/>
        </w:rPr>
      </w:pPr>
      <w:r>
        <w:rPr>
          <w:rStyle w:val="C11"/>
          <w:rtl w:val="0"/>
        </w:rPr>
        <w:t>e) Odstranit vzniklé nedostatky při bezhotovostních i hotovostních platbách</w:t>
      </w:r>
    </w:p>
    <w:p>
      <w:pPr>
        <w:pStyle w:val="P28"/>
        <w:framePr w:w="3921" w:h="376" w:hRule="exact" w:wrap="none" w:vAnchor="page" w:hAnchor="margin" w:x="6800" w:y="10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121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13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7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13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17:49:16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17:49:16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odborných předmětů nebo praxe v oboru operátor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Výpočetní techniku 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6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5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17:49:16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17:49:16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