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820717" Type="http://schemas.openxmlformats.org/officeDocument/2006/relationships/officeDocument" Target="/word/document.xml" /><Relationship Id="coreR3C820717" Type="http://schemas.openxmlformats.org/package/2006/relationships/metadata/core-properties" Target="/docProps/core.xml" /><Relationship Id="customR3C82071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Knihař/knihařka na automatických knihařských linkách (kód: 34-001-H)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Knihař na automatických knihařských linkách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Knihař/knihařka na automatických knihařských linkách, 30.7.2026 9:04:26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Knihař (kód: 34-57-H/01)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Knihař/knihařka na automatických knihařských linkách (kód: 34-001-H)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Knihař/knihařka na knihařských strojích (kód: 34-002-H)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30.1.2009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Knihař (kód: 34-99-H/09)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Knihař/knihařka na automatických knihařských linkách (kód: 34-001-H)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Knihař/knihařka na knihařských strojích (kód: 34-002-H)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Knihař na automatických knihařských linkách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  <w:r>
        <w:rPr>
          <w:rStyle w:val="C19"/>
          <w:rtl w:val="0"/>
        </w:rPr>
        <w:t>Průmyslový knihař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Knihař/knihařka na automatických knihařských linkách, 30.7.2026 9:04:26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