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F24CE" Type="http://schemas.openxmlformats.org/officeDocument/2006/relationships/officeDocument" Target="/word/document.xml" /><Relationship Id="coreR730F24CE" Type="http://schemas.openxmlformats.org/package/2006/relationships/metadata/core-properties" Target="/docProps/core.xml" /><Relationship Id="customR730F2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21.08.2019 do: 20.10.2022</w:t>
      </w:r>
    </w:p>
    <w:p>
      <w:pPr>
        <w:pStyle w:val="P23"/>
        <w:framePr w:w="7654" w:h="331" w:hRule="exact" w:wrap="none" w:vAnchor="page" w:hAnchor="margin" w:x="28" w:y="15940"/>
        <w:rPr>
          <w:rStyle w:val="C16"/>
          <w:rtl w:val="0"/>
        </w:rPr>
      </w:pPr>
      <w:r>
        <w:rPr>
          <w:rStyle w:val="C16"/>
          <w:rtl w:val="0"/>
        </w:rPr>
        <w:t>Knihař na automatických knihařských linkách, 30.4.2026 15:12:42</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30.4.2026 15:12:42</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30.4.2026 15:12:42</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30.4.2026 15:12:42</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30.4.2026 15:12:42</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 na automatických knihařských linkách, 30.4.2026 15:12:42</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 na automatických knihařských linkách, 30.4.2026 15:12:42</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 na automatických knihařských linkách, 30.4.2026 15:12:42</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4BD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22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