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27F82" Type="http://schemas.openxmlformats.org/officeDocument/2006/relationships/officeDocument" Target="/word/document.xml" /><Relationship Id="coreR24827F82" Type="http://schemas.openxmlformats.org/package/2006/relationships/metadata/core-properties" Target="/docProps/core.xml" /><Relationship Id="customR24827F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2:23:44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http://katalog.nsp.cz/karta_p.aspx?id_jp=101517&amp;kod_sm1=33)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knihařského zpracování a opírá se o tyto normy: např. ON 88 3750 a Směrnici pro dokončující knihařské zpracování (vydáno Svazem polygrafických podnikatelů v roce 2012).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úkolů založených na formě praktického předvedení je třeba přihlížet především k pravidlům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BOZP a PO v rámci provádění všech úkonů, ke kvalitě zhotoveného produktu a k časovému hledisku zvládání daných operací.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autorizovaná osoba sdělí a nejpozději spolu s pozvánkou zašle uchazeči výčet těchto kritérií. Z variant, které umožňuje tento hodnoticí standard,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2:23:44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s.r.o., České Budějovice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Typografická Beseda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2:23:44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